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41" w:rsidRPr="003E034D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>АЕРОКОСМІЧНИЙ ФАКУЛЬТЕТ</w:t>
      </w:r>
    </w:p>
    <w:p w:rsidR="00395A41" w:rsidRPr="003E034D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КАФЕДРА</w:t>
      </w:r>
      <w:r w:rsidR="005B5A1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КОМПЮТЕРИЗОВАНИХ ЕЛЕКТРОТЕХНІЧНИХ СИСТЕМ ТА ТЕХНОЛОГІЙ</w:t>
      </w: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395A41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Pr="003E034D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95A41" w:rsidRPr="003E034D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96D0C" w:rsidRPr="00796D0C" w:rsidRDefault="00796D0C" w:rsidP="00796D0C">
      <w:pPr>
        <w:pStyle w:val="a7"/>
        <w:spacing w:after="10" w:line="271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Методичні рекомендації з підготовки студентів до практичних (семінарських) занять</w:t>
      </w:r>
    </w:p>
    <w:p w:rsidR="00395A41" w:rsidRPr="003E034D" w:rsidRDefault="00395A41" w:rsidP="00A752B0">
      <w:pPr>
        <w:spacing w:after="179" w:line="27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 дисципліни «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Надійність контроль та діагностування технічних систем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»</w:t>
      </w:r>
    </w:p>
    <w:p w:rsidR="00395A41" w:rsidRPr="003E034D" w:rsidRDefault="005B5A14" w:rsidP="00A752B0">
      <w:pPr>
        <w:spacing w:after="33" w:line="27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спеціальністю 141 «Електроенергетика, електротехніка та електромеханіка»</w:t>
      </w:r>
    </w:p>
    <w:p w:rsidR="00395A41" w:rsidRPr="003E034D" w:rsidRDefault="00395A41" w:rsidP="005B5A14">
      <w:pPr>
        <w:spacing w:after="13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95A41" w:rsidRPr="003E034D" w:rsidRDefault="00395A41" w:rsidP="005B5A14">
      <w:pPr>
        <w:spacing w:after="132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A752B0">
      <w:pPr>
        <w:spacing w:after="137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5B5A14">
      <w:pPr>
        <w:spacing w:after="132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5B5A14">
      <w:pPr>
        <w:spacing w:after="19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5B5A14" w:rsidP="005B5A14">
      <w:pPr>
        <w:spacing w:after="45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Укладач</w:t>
      </w:r>
      <w:r w:rsidR="00395A41"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канд. техн. наук,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br/>
        <w:t>доцент Світлана ДЕВ</w:t>
      </w:r>
      <w:r w:rsidRPr="005B5A14">
        <w:rPr>
          <w:rFonts w:ascii="Times New Roman" w:eastAsia="Times New Roman" w:hAnsi="Times New Roman" w:cs="Times New Roman"/>
          <w:color w:val="000000"/>
          <w:sz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ЯТКІНА</w:t>
      </w:r>
    </w:p>
    <w:p w:rsidR="00395A41" w:rsidRPr="003E034D" w:rsidRDefault="00395A41" w:rsidP="005B5A14">
      <w:pPr>
        <w:spacing w:after="0" w:line="397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Конспект лекцій розглянутий та схвалений на засіданні кафедри 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комп’ютеризованих електротехнічних систем та технологій</w:t>
      </w: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</w:t>
      </w:r>
    </w:p>
    <w:p w:rsidR="00395A41" w:rsidRPr="003E034D" w:rsidRDefault="00395A41" w:rsidP="00395A41">
      <w:pPr>
        <w:spacing w:after="154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Протокол № ____ від «___»_____20__р. </w:t>
      </w:r>
    </w:p>
    <w:p w:rsidR="00395A41" w:rsidRDefault="00395A41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Завідувач кафедри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КЕСТ: докт. техн. наук, професор Володимир КВАСНІКОВ</w:t>
      </w: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Pr="003E034D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КИЇВ</w:t>
      </w:r>
    </w:p>
    <w:p w:rsidR="00315F6C" w:rsidRPr="00315F6C" w:rsidRDefault="00315F6C" w:rsidP="00315F6C">
      <w:pPr>
        <w:spacing w:before="120"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№1 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"Н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адійність, контроль та діагностування технічних систем".</w:t>
      </w:r>
    </w:p>
    <w:p w:rsidR="00315F6C" w:rsidRDefault="00315F6C" w:rsidP="00315F6C">
      <w:pPr>
        <w:spacing w:after="184" w:line="360" w:lineRule="auto"/>
        <w:ind w:left="709" w:right="7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395A41" w:rsidRPr="003E034D" w:rsidRDefault="00796D0C" w:rsidP="00315F6C">
      <w:pPr>
        <w:spacing w:after="184" w:line="360" w:lineRule="auto"/>
        <w:ind w:left="709" w:right="7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lastRenderedPageBreak/>
        <w:t xml:space="preserve">Практичне заняття </w:t>
      </w:r>
      <w:r w:rsidR="00395A41"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№ </w:t>
      </w:r>
      <w:r w:rsidR="005B5A1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1</w:t>
      </w:r>
    </w:p>
    <w:p w:rsidR="00315F6C" w:rsidRPr="00315F6C" w:rsidRDefault="00315F6C" w:rsidP="00796D0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Основні терміни та визначення теорії надійності технічних систем. 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Поняття надійності технічних об’єктів.</w:t>
      </w:r>
    </w:p>
    <w:p w:rsidR="00315F6C" w:rsidRDefault="00315F6C" w:rsidP="00315F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Default="00765FDF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65FDF" w:rsidRP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Ознайомитися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 основним змістом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2860 – 94 Надійність техніки. Терміни та визначення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Проаналізувати основні терміни та їх визначення, що застосовуються в теорії надійності. Вміти навести приклади застосування загальних термінів до конкретних технічних систем різного призначення.</w:t>
      </w:r>
    </w:p>
    <w:p w:rsid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315F6C" w:rsidRDefault="00917393" w:rsidP="00765FDF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17393" w:rsidRPr="00315F6C" w:rsidRDefault="00917393" w:rsidP="00765FDF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2860 – 94 Надійність техніки. Терміни та визначення; Чин. від 01.01.96. – К.: Держстандарт України, 1996. –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50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Default="00765FDF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Класифікація відмов об’єктів.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Критеріїв відмов складних та простих технічних систем</w:t>
      </w:r>
    </w:p>
    <w:p w:rsid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765FDF" w:rsidRDefault="00765FDF" w:rsidP="00765FD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0C" w:rsidRPr="00765FDF" w:rsidRDefault="00765FDF" w:rsidP="00765FDF">
      <w:pPr>
        <w:pStyle w:val="a7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6D0C" w:rsidRPr="00765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знайомитися з класифікацією відмов технічних об'єктів (систем) за допомогою лекційного матеріалу (слайди 20-22)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змісту ДСТУ 2860-94</w:t>
      </w:r>
      <w:r w:rsidR="00796D0C" w:rsidRPr="0076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вміти </w:t>
      </w:r>
      <w:r w:rsidR="00796D0C" w:rsidRPr="00765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одити </w:t>
      </w:r>
      <w:r w:rsidR="00796D0C" w:rsidRPr="0076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приклади можливих відмов реальних технічних систем (об'єктів) для кожного типу відмови.</w:t>
      </w:r>
    </w:p>
    <w:p w:rsidR="00315F6C" w:rsidRPr="00765FDF" w:rsidRDefault="00315F6C" w:rsidP="00765F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765FDF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17393" w:rsidRPr="00315F6C" w:rsidRDefault="00917393" w:rsidP="00765FDF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2860 – 94 Надійність техніки. Терміни та визначення; Чин. від 01.01.96. – К.: Держстандарт України, 1996. –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50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765FDF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Математичні основи теорії надійності технічних систем. Понят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 ймовірності випадкової події</w:t>
      </w:r>
    </w:p>
    <w:p w:rsid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DF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DF" w:rsidRPr="001650CA" w:rsidRDefault="00765FDF" w:rsidP="00765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Ознайомитися з різними типами розподілу випадкових величин</w:t>
      </w:r>
      <w:r w:rsidRPr="0076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що використовуються в теорії надійності.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Знати аналітичні закони зміни функції розподілу та щільності розподілу випадкових величин. Вміти побудувати графіки функці</w:t>
      </w:r>
      <w:r w:rsidR="0016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щільності розподілу </w:t>
      </w:r>
      <w:r w:rsidR="0016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основних законів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випадкових величин </w:t>
      </w:r>
      <w:r w:rsidR="0016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(нормальний, експоненціальний, розподіл  Вейбула, розподіл Пуассона, біноміальний розподіл) в програмі </w:t>
      </w:r>
      <w:r w:rsidR="001650C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Excel</w:t>
      </w:r>
      <w:r w:rsidR="001650CA" w:rsidRPr="0016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65FDF" w:rsidRDefault="00765FDF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1650C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17393" w:rsidRDefault="00917393" w:rsidP="001650C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Васильків І.М. Основи теорії ймовірностей і математичної статистики : навч. посібник. –Львів : ЛНУ імені Івана Франка, 2020. – 184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996F9B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Pr="00996F9B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="009054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315F6C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Математичні основи теорії надійності технічних систем. Основні теореми теорії ймовірностей. Основи математичної статистики.</w:t>
      </w:r>
    </w:p>
    <w:p w:rsidR="009E1207" w:rsidRDefault="009E1207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F9B" w:rsidRDefault="00996F9B" w:rsidP="00996F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996F9B" w:rsidRDefault="00996F9B" w:rsidP="00996F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9B" w:rsidRPr="00996F9B" w:rsidRDefault="00996F9B" w:rsidP="00996F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9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гадати основні поняття теорії ймовірностей: випадкова величина, ймовірність випадкової величини, залежні/незалежні події, види розподілу випадкових величин. Подивитись відео матеріали  про метод Монте Карло.</w:t>
      </w:r>
    </w:p>
    <w:p w:rsidR="00996F9B" w:rsidRPr="00996F9B" w:rsidRDefault="00996F9B" w:rsidP="00996F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 з і змістом ДСТУ 2864 про експериментальне оцінювання та контроль надійності технічних систем.</w:t>
      </w:r>
    </w:p>
    <w:p w:rsidR="00996F9B" w:rsidRPr="00996F9B" w:rsidRDefault="00996F9B" w:rsidP="00996F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96F9B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17393" w:rsidRDefault="00917393" w:rsidP="00996F9B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Васильків І.М. Основи теорії ймовірностей і математичної статистики : навч. посібник. –Львів : ЛНУ імені Івана Франка, 2020. – 184 с.</w:t>
      </w:r>
    </w:p>
    <w:p w:rsidR="00917393" w:rsidRDefault="00917393" w:rsidP="00996F9B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2864 - Надійність техніки. Експериментальне оцінювання та контроль надійності. Основні положення; чин. від 01.01.1997 – К.: Держстандарт України, 1996. – 33с.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96F9B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0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Показники надійності технічних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истем: показники безвідмовності</w:t>
      </w:r>
    </w:p>
    <w:p w:rsidR="009E1207" w:rsidRDefault="009E1207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9B" w:rsidRDefault="00996F9B" w:rsidP="00996F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315F6C" w:rsidRDefault="00315F6C" w:rsidP="00315F6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9B" w:rsidRDefault="009054AE" w:rsidP="009054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Підготуватися к вирішенню задач на визначення ймовірностей окремих випадкових подій, сумісних та несумісних, залежних та незалежних.</w:t>
      </w:r>
    </w:p>
    <w:p w:rsidR="0077159E" w:rsidRDefault="0077159E" w:rsidP="009054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 з</w:t>
      </w:r>
      <w:r w:rsidR="009054AE" w:rsidRPr="0090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змістом ДСТУ </w:t>
      </w:r>
      <w:r w:rsidR="009054AE">
        <w:rPr>
          <w:rFonts w:ascii="Times New Roman" w:eastAsia="Times New Roman" w:hAnsi="Times New Roman" w:cs="Times New Roman"/>
          <w:sz w:val="28"/>
          <w:szCs w:val="28"/>
          <w:lang w:eastAsia="ru-RU"/>
        </w:rPr>
        <w:t>3433-96</w:t>
      </w:r>
      <w:r w:rsidR="009054AE" w:rsidRPr="0090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9054AE" w:rsidRPr="0090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відмов.</w:t>
      </w:r>
    </w:p>
    <w:p w:rsidR="009054AE" w:rsidRDefault="009054AE" w:rsidP="00315F6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9B" w:rsidRPr="00315F6C" w:rsidRDefault="00996F9B" w:rsidP="00315F6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96F9B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17393" w:rsidRDefault="00917393" w:rsidP="00996F9B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Васильків І.М. Основи теорії ймовірностей і математичної статистики : навч. посібник. –Львів : ЛНУ імені Івана Франка, 2020. – 184 с.</w:t>
      </w:r>
    </w:p>
    <w:p w:rsidR="00917393" w:rsidRDefault="00917393" w:rsidP="00917393">
      <w:pPr>
        <w:pStyle w:val="a7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3433-96 Надійність техніки. Моделі відмов. Основні положення; Чин. від 01.01.1999. К.: Держстандарт України, 1997. – 46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054AE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15F6C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Показники надійності технічних систем: показники довговічності, ремонтопридатності та збережуваності. Комплексні показники надійності технічних систем.</w:t>
      </w:r>
    </w:p>
    <w:p w:rsid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9E1207" w:rsidRDefault="009E1207" w:rsidP="00315F6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4AE" w:rsidRP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90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озроб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ити т</w:t>
      </w:r>
      <w:r w:rsidRPr="0090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ехнічн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Pr="0090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завдання для визначення показників надійності підсистеми світлосигнальної системи аеродрому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054AE" w:rsidRP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підставі завдання на курсову роботу (див. Методичні вказівки) розробити технічне завдання  для визначення показників надійності певної підсистеми світлосигнальної системи аеродрому, відповідно до обраного варіанту.</w:t>
      </w:r>
    </w:p>
    <w:p w:rsidR="009054AE" w:rsidRP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Технічне завдання повинно мати:</w:t>
      </w:r>
    </w:p>
    <w:p w:rsidR="009054AE" w:rsidRPr="009054AE" w:rsidRDefault="009054AE" w:rsidP="009054AE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Назву роботи</w:t>
      </w:r>
    </w:p>
    <w:p w:rsidR="009054AE" w:rsidRPr="009054AE" w:rsidRDefault="009054AE" w:rsidP="009054AE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 роботи</w:t>
      </w:r>
    </w:p>
    <w:p w:rsidR="009054AE" w:rsidRP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Об'єкт дослідження</w:t>
      </w:r>
    </w:p>
    <w:p w:rsidR="009054AE" w:rsidRP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Предмет дослідження</w:t>
      </w:r>
    </w:p>
    <w:p w:rsidR="009054AE" w:rsidRP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Основні задачі, що будуть вирішуватися в роботі</w:t>
      </w:r>
    </w:p>
    <w:p w:rsidR="00315F6C" w:rsidRP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Основні технічні вимоги, яким має відповідати робота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054AE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054AE" w:rsidRDefault="009054AE" w:rsidP="009054AE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Методичні рекомендації з виконання курсової роботи по дисципліні «Надійність, контроль та діагностування технічних систем»</w:t>
      </w:r>
    </w:p>
    <w:p w:rsidR="00315F6C" w:rsidRPr="00917393" w:rsidRDefault="00315F6C" w:rsidP="009173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054AE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заняття№ 7</w:t>
      </w:r>
    </w:p>
    <w:p w:rsidR="00315F6C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</w:t>
      </w:r>
      <w:r w:rsidR="009054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Обробка статистичних даних про відмови технічних систем</w:t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054AE" w:rsidRDefault="009054AE" w:rsidP="00905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9054AE" w:rsidRPr="0077159E" w:rsidRDefault="0077159E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15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Обробити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статистичний дані про відмови технічних об’єктів та перевірити гіпотезу про експоненціальний закон розподілу випадкової величини, якою є час напрацювання до відмови технічних об’єктів. </w:t>
      </w:r>
    </w:p>
    <w:p w:rsidR="0077159E" w:rsidRDefault="0077159E" w:rsidP="007715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 з</w:t>
      </w:r>
      <w:r w:rsidRPr="0090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змістом ДСТУ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2864</w:t>
      </w:r>
      <w:r w:rsidRPr="0090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90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експериментального оцінювання і контроля надійності.</w:t>
      </w:r>
    </w:p>
    <w:p w:rsidR="009054AE" w:rsidRPr="00315F6C" w:rsidRDefault="009054AE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93" w:rsidRPr="00315F6C" w:rsidRDefault="00917393" w:rsidP="009173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17393">
      <w:pPr>
        <w:pStyle w:val="a7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17393" w:rsidRDefault="00917393" w:rsidP="00917393">
      <w:pPr>
        <w:pStyle w:val="a7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Васильків І.М. Основи теорії ймовірностей і математичної статистики : навч. посібник. –Львів : ЛНУ імені Івана Франка, 2020. – 184 с.</w:t>
      </w:r>
    </w:p>
    <w:p w:rsidR="00315F6C" w:rsidRPr="00917393" w:rsidRDefault="00917393" w:rsidP="00917393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2864 - Надійність техніки. Експериментальне оцінювання та контроль надійності. Основні положення; чин. від 01.01.1997 – К.: Держстандарт України, 1996. – 33с.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77159E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44F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№8</w:t>
      </w:r>
    </w:p>
    <w:p w:rsidR="00315F6C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 в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изначення надійності технічних систем – класичний (аналітичний) метод.</w:t>
      </w:r>
    </w:p>
    <w:p w:rsidR="009E1207" w:rsidRDefault="009E1207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159E" w:rsidRDefault="0077159E" w:rsidP="007715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CE11EF" w:rsidRDefault="00CE11EF" w:rsidP="0077159E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Default="00CE11EF" w:rsidP="00CE11E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 з суттю класичного методу визначення показників надійності технічних систем. Вивчити вимоги державних стандартів щодо аналізу надійності та методів розрахунку показників надійності технічних систем.</w:t>
      </w:r>
    </w:p>
    <w:p w:rsidR="0077159E" w:rsidRDefault="0077159E" w:rsidP="00CE11E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9E" w:rsidRPr="0077159E" w:rsidRDefault="0077159E" w:rsidP="0077159E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93" w:rsidRPr="00315F6C" w:rsidRDefault="00917393" w:rsidP="009173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CE11EF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17393" w:rsidRDefault="00917393" w:rsidP="00CE11EF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Васильків І.М. Основи теорії ймовірностей і математичної статистики : навч. посібник. –Львів : ЛНУ імені Івана Франка, 2020. – 184 с.</w:t>
      </w:r>
    </w:p>
    <w:p w:rsidR="00917393" w:rsidRDefault="00917393" w:rsidP="00CE11EF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2861 – 94 Надійність техніки. Аналіз надійності. Основні положення; Чин. від 01.01.97. – К.: Держстандарт України, 1996. – 39с.</w:t>
      </w:r>
    </w:p>
    <w:p w:rsidR="00315F6C" w:rsidRPr="009879BD" w:rsidRDefault="009879BD" w:rsidP="00CE11EF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2862-94 Надійність техніки. Методи розрахунку показників надійності. Загальні вимоги. чин. від </w:t>
      </w:r>
      <w:bookmarkStart w:id="0" w:name="_Hlk116390122"/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01.01.1997 - </w:t>
      </w:r>
      <w:bookmarkEnd w:id="0"/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К.: Держстандарт України, 1994. –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24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244F21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Аналітичний метод визначення надійності технічних систем. Послідовне, паралельне та змішане з’єднання елементів у систему.</w:t>
      </w:r>
    </w:p>
    <w:p w:rsidR="009E1207" w:rsidRDefault="009E1207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4F21" w:rsidRDefault="00244F21" w:rsidP="00244F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A00CE2" w:rsidRDefault="00A00CE2" w:rsidP="00A00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Default="00A00CE2" w:rsidP="00A00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Повторити навчальний матеріал стосовно теорем додавання та множення ймовірностей. </w:t>
      </w:r>
    </w:p>
    <w:p w:rsidR="00244F21" w:rsidRPr="00315F6C" w:rsidRDefault="00244F21" w:rsidP="00244F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93" w:rsidRPr="00315F6C" w:rsidRDefault="00917393" w:rsidP="009173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17393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17393" w:rsidRDefault="00917393" w:rsidP="00917393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Васильків І.М. Основи теорії ймовірностей і математичної статистики : навч. посібник. –Львів : ЛНУ імені Івана Франка, 2020. – 184 с.</w:t>
      </w:r>
    </w:p>
    <w:p w:rsidR="00917393" w:rsidRDefault="00917393" w:rsidP="00917393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2861 – 94 Надійність техніки. Аналіз надійності. Основні положення; Чин. від 01.01.97. – К.: Держстандарт України, 1996. – 39с.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A00CE2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="00EA10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розрахунку надійності резервованих систем.</w:t>
      </w:r>
    </w:p>
    <w:p w:rsidR="009E1207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100F" w:rsidRDefault="00EA100F" w:rsidP="00EA10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100F" w:rsidRDefault="00EA100F" w:rsidP="00EA1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Повторити навчальний матеріал стосовно біноміального розподілу випадкової величини. </w:t>
      </w:r>
    </w:p>
    <w:p w:rsidR="00EA100F" w:rsidRDefault="00EA100F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100F" w:rsidRDefault="00EA100F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100F" w:rsidRPr="00315F6C" w:rsidRDefault="00EA100F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Pr="00315F6C" w:rsidRDefault="009879BD" w:rsidP="009879B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879BD" w:rsidRDefault="009879BD" w:rsidP="00EA100F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879BD" w:rsidRDefault="009879BD" w:rsidP="00EA100F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Васильків І.М. Основи теорії ймовірностей і математичної статистики : навч. посібник. –Львів : ЛНУ імені Івана Франка, 2020. – 184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EA100F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№11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bookmarkStart w:id="1" w:name="_Hlk61959041"/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 в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изначення надійності технічних систем: логіко-ймовірнісний метод, Марковські моделі надійності технічних систем, ймовірнісно-фізичні моделі надійності технічних систем</w:t>
      </w:r>
      <w:bookmarkEnd w:id="1"/>
    </w:p>
    <w:p w:rsidR="009E1207" w:rsidRDefault="009E1207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00F" w:rsidRDefault="00EA100F" w:rsidP="00EA10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Методичні рекомендації </w:t>
      </w:r>
      <w:r w:rsidRPr="00796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дготовки студентів до практичного заняття</w:t>
      </w:r>
    </w:p>
    <w:p w:rsidR="00315F6C" w:rsidRDefault="00EA100F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Повторити навчальний матеріал стосовно логіко-ймовірнісного методу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визначення надійності технічних систем, Марковських моделей надійності та ймовірнісно-фізичних методів.</w:t>
      </w:r>
    </w:p>
    <w:p w:rsidR="00EA100F" w:rsidRPr="00EA100F" w:rsidRDefault="00EA100F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79BD" w:rsidRPr="00315F6C" w:rsidRDefault="009879BD" w:rsidP="009879B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879BD" w:rsidRDefault="009879BD" w:rsidP="00EA100F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9879BD" w:rsidRDefault="009879BD" w:rsidP="00EA100F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Васильків І.М. Основи теорії ймовірностей і математичної статистики : навч. посібник. –Львів : ЛНУ імені Івана Франка, 2020. – 184 с.</w:t>
      </w:r>
    </w:p>
    <w:p w:rsidR="009879BD" w:rsidRDefault="009879BD" w:rsidP="00EA100F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2861 – 94 Надійність техніки. Аналіз надійності. Основні положення; Чин. від 01.01.97. – К.: Держстандарт України, 1996. – 39с.</w:t>
      </w:r>
    </w:p>
    <w:p w:rsidR="009879BD" w:rsidRPr="009879BD" w:rsidRDefault="009879BD" w:rsidP="009879B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2862-94 Надійність техніки. Методи розрахунку показників надійності. Загальні вимоги. чин. від 01.01.1997 - К.: Держстандарт України, 1994. –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24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9E1207" w:rsidRDefault="009E1207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EA100F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№12</w:t>
      </w:r>
    </w:p>
    <w:p w:rsidR="00315F6C" w:rsidRPr="00315F6C" w:rsidRDefault="009E1207" w:rsidP="009879B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Визначення надійності складних технічних систем на прикладі світлосигнальних систем аеродромів (ССА) та їх підсистем.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Критерії відмови ССА та її підсистем.</w:t>
      </w:r>
    </w:p>
    <w:p w:rsidR="009E1207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100F" w:rsidRPr="00EA100F" w:rsidRDefault="00EA100F" w:rsidP="00EA10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Методичні рекомендації з підготовки студентів до практичного заняття</w:t>
      </w:r>
    </w:p>
    <w:p w:rsidR="00EA100F" w:rsidRDefault="00EA100F" w:rsidP="00EA100F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A100F" w:rsidRDefault="00EA100F" w:rsidP="00EA100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Підготуватися до 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дення 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інженерн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ого 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аналіз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складної технічної системи на прикладі підсистеми світлосигнальної системи аеродрому.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результати аналізу скласти звіт, який має містити принаймні наступну інформацію:</w:t>
      </w:r>
    </w:p>
    <w:p w:rsidR="00EA100F" w:rsidRPr="00EA100F" w:rsidRDefault="00EA100F" w:rsidP="00EA10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Призначення підсистеми та її роль у забезпеченні технологічних процесів на аеродромі.</w:t>
      </w:r>
    </w:p>
    <w:p w:rsidR="00EA100F" w:rsidRDefault="00EA100F" w:rsidP="00EA10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Склад, структуру, конфігурацію елементів підсистеми.</w:t>
      </w:r>
    </w:p>
    <w:p w:rsidR="00EA100F" w:rsidRDefault="00EA100F" w:rsidP="00EA10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Склад та структуру системи електропостачання підсистеми.</w:t>
      </w:r>
    </w:p>
    <w:p w:rsidR="00EA100F" w:rsidRDefault="00EA100F" w:rsidP="00EA10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Критерії відмови підсист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</w:t>
      </w:r>
    </w:p>
    <w:p w:rsidR="00EA100F" w:rsidRPr="00EA100F" w:rsidRDefault="00EA100F" w:rsidP="00EA10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проведення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аналізу використовувати вимоги С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тандартів та рекомендованої практик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ІСАО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Додаток 14 до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Конвец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ії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...Т.1 Аеродроми) та вітчизняних нормативно-технічних документів (Наказ Державіаслужби №1841).</w:t>
      </w:r>
      <w:r w:rsidRPr="00EA1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Найменування підсистеми можна обрати відповідно до номеру варіанту курсової роботи.</w:t>
      </w:r>
    </w:p>
    <w:p w:rsidR="009E1207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E1207" w:rsidRPr="009879BD" w:rsidRDefault="009879BD" w:rsidP="009879B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3589 – 97. Системи та комплекси авіаційного обладнання. Надійність та експлуатація. Терміни та визначення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;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Чин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від 01.07.1998, №441.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К.: Держстандарт України, 199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7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31 с.</w:t>
      </w:r>
    </w:p>
    <w:p w:rsidR="009879BD" w:rsidRPr="009879BD" w:rsidRDefault="009879BD" w:rsidP="009879B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Дев’яткіна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Основні проблеми надійності світлосигнальних систем аеродромів/ С.С. Дев’яткіна// Вісник НАУ. – 2001. – №2. – С. 121-125.</w:t>
      </w:r>
    </w:p>
    <w:p w:rsidR="009E1207" w:rsidRDefault="009E12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233E66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№13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Аналітичний метод визначення показників надійності ССА та її підсистем.</w:t>
      </w:r>
    </w:p>
    <w:p w:rsidR="00A752B0" w:rsidRDefault="00A752B0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33E66" w:rsidRPr="00EA100F" w:rsidRDefault="00233E66" w:rsidP="00233E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Методичні рекомендації з підготовки студентів до практичного заняття</w:t>
      </w: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315F6C" w:rsidRDefault="00233E66" w:rsidP="00233E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 зі змістом методичної розробки щодо визначення показників надійності світлосигнальних систем аеродромів.</w:t>
      </w:r>
    </w:p>
    <w:p w:rsidR="00315F6C" w:rsidRDefault="00315F6C" w:rsidP="00233E66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A752B0" w:rsidRPr="00315F6C" w:rsidRDefault="00A752B0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Default="009879BD" w:rsidP="009879BD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3589 – 97. Системи та комплекси авіаційного обладнання. Надійність та експлуатація. Терміни та визначення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;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Чин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від 01.07.1998, №441.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К.: Держстандарт України, 199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7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31 с.</w:t>
      </w:r>
    </w:p>
    <w:p w:rsidR="009879BD" w:rsidRPr="009879BD" w:rsidRDefault="009879BD" w:rsidP="009879BD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Дев’яткіна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Методика визначення показників надійності категорованих світлосигнальних систем аеродромів/ С.С. Дев’яткіна// Вісник НАУ. – 2002. – №1. – С. 193-197.</w:t>
      </w:r>
    </w:p>
    <w:p w:rsidR="009E1207" w:rsidRPr="009879BD" w:rsidRDefault="009879BD" w:rsidP="009879BD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Дев’яткіна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Надійність системи електропостачання світлосигнальної системи аеродрому/ С.С. Дев’яткіна// Матеріали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XIV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Міжнар. наук-практ. конф. «Інтегровані робото - технічні комплекси», 18-19 травня 2021 - К, 2021.-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131 – 133.</w:t>
      </w:r>
    </w:p>
    <w:p w:rsidR="009E1207" w:rsidRDefault="009E12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207" w:rsidRPr="00315F6C" w:rsidRDefault="009E1207" w:rsidP="00315F6C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66" w:rsidRDefault="00233E66" w:rsidP="00233E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№14</w:t>
      </w:r>
    </w:p>
    <w:p w:rsidR="00315F6C" w:rsidRPr="00315F6C" w:rsidRDefault="009E1207" w:rsidP="009E1207">
      <w:pPr>
        <w:tabs>
          <w:tab w:val="left" w:pos="1134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Основи технічного контролю та 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діагностування технічних систем. Основні терміни та визначення.</w:t>
      </w:r>
    </w:p>
    <w:p w:rsidR="009E1207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33E66" w:rsidRPr="00EA100F" w:rsidRDefault="00233E66" w:rsidP="00233E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Методичні рекомендації з підготовки студентів до практичного заняття</w:t>
      </w:r>
    </w:p>
    <w:p w:rsidR="00233E66" w:rsidRDefault="00233E66" w:rsidP="00233E66">
      <w:pPr>
        <w:spacing w:after="0" w:line="360" w:lineRule="auto"/>
        <w:ind w:left="9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233E66" w:rsidP="00233E66">
      <w:pPr>
        <w:spacing w:after="0" w:line="360" w:lineRule="auto"/>
        <w:ind w:left="9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Ознайомитися зі змістом ДСТУ щодо програми забезпечення надійності, а також, повторити лекційний матеріал стосовно контролю та діагностуванню технічних систем. </w:t>
      </w:r>
    </w:p>
    <w:p w:rsidR="00315F6C" w:rsidRDefault="00315F6C" w:rsidP="00315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E1207" w:rsidRPr="009879BD" w:rsidRDefault="009879BD" w:rsidP="009879BD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2863—94. Надійність техніки. Програма забезпечення надійності. Загальні вимоги; чин. від 01.01.1997. – К.: Держстандарт України, 1996. –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44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Default="009E1207" w:rsidP="00315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 w:rsidP="00315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207" w:rsidRPr="00315F6C" w:rsidRDefault="009E1207" w:rsidP="00315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66" w:rsidRDefault="00233E66" w:rsidP="00233E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Практичне заняття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№15</w:t>
      </w:r>
    </w:p>
    <w:p w:rsidR="00315F6C" w:rsidRPr="00315F6C" w:rsidRDefault="009E1207" w:rsidP="009E12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Технічна експертиза обладнання технічних систем.</w:t>
      </w:r>
    </w:p>
    <w:p w:rsidR="009E1207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33E66" w:rsidRPr="00EA100F" w:rsidRDefault="00233E66" w:rsidP="00233E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Методичні рекомендації з підготовки студентів до практичного заняття</w:t>
      </w:r>
    </w:p>
    <w:p w:rsidR="00233E66" w:rsidRDefault="00233E66" w:rsidP="00233E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66" w:rsidRPr="00315F6C" w:rsidRDefault="00233E66" w:rsidP="00233E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 лекційний матеріал стосовно технічної експертизи обладнання технічних систем – мета та основні задачі, які вирішуються в рамках технічної експертизи обладнання технічних систем.</w:t>
      </w:r>
    </w:p>
    <w:p w:rsidR="00233E66" w:rsidRDefault="00233E66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A752B0" w:rsidRPr="00315F6C" w:rsidRDefault="00A752B0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Default="009879BD" w:rsidP="009879BD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2863—94. Надійність техніки. Програма забезпечення надійності. Загальні вимоги; чин. від 01.01.1997. – К.: Держстандарт України, 1996. –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44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A752B0" w:rsidRPr="009879BD" w:rsidRDefault="00A752B0" w:rsidP="009879BD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Азарсков В.М.,  Дев’яткіна </w:t>
      </w:r>
      <w:r w:rsidRPr="00A752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752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Надійність світлосигнальної системи аеродрому та безпека польотів на етапі візуального пілотування у складних метеоумовах/ В.М. Азарсков, С.С. Дев’яткіна// Вісник НАУ. - 2001. – №4. – С. 12-14.</w:t>
      </w: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207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233E66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та діагностування елементів технологічного обладнання ССА та її підсистем. Автоматизація контролю та діагностування аеродромних вогнів.</w:t>
      </w:r>
    </w:p>
    <w:p w:rsidR="009E1207" w:rsidRDefault="009E1207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33E66" w:rsidRPr="00EA100F" w:rsidRDefault="00233E66" w:rsidP="00233E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Методичні рекомендації з підготовки студентів до практичного заняття</w:t>
      </w:r>
    </w:p>
    <w:p w:rsidR="00315F6C" w:rsidRPr="00315F6C" w:rsidRDefault="00233E66" w:rsidP="00233E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Ознайомитися з вимогами Стандарті та Рекомендованої практики ІСАО щодо </w:t>
      </w:r>
      <w:r w:rsidR="002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необхідності контролю та діагностування світлосигнальних систем аеродромів. </w:t>
      </w:r>
    </w:p>
    <w:p w:rsidR="00315F6C" w:rsidRPr="00315F6C" w:rsidRDefault="00315F6C" w:rsidP="00233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07" w:rsidRDefault="009E1207" w:rsidP="00A75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A752B0" w:rsidRPr="00315F6C" w:rsidRDefault="00A752B0" w:rsidP="00A75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Default="009879BD" w:rsidP="00A752B0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2863—94. Надійність техніки. Програма забезпечення надійності. Загальні вимоги; чин. від 01.01.1997. – К.: Держстандарт України, 1996. –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44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29163B" w:rsidRPr="009879BD" w:rsidRDefault="0029163B" w:rsidP="00A752B0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Додаток 14 до Конвенції про Міжнародну цивільну авіацію. Том 1. Аеродроми.</w:t>
      </w: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122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315F6C" w:rsidRDefault="00315F6C" w:rsidP="00315F6C">
      <w:pPr>
        <w:spacing w:after="122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29163B" w:rsidRDefault="0029163B" w:rsidP="00315F6C">
      <w:pPr>
        <w:spacing w:after="122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29163B" w:rsidRDefault="0029163B" w:rsidP="00315F6C">
      <w:pPr>
        <w:spacing w:after="122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29163B" w:rsidRDefault="0029163B" w:rsidP="00315F6C">
      <w:pPr>
        <w:spacing w:after="122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29163B" w:rsidRDefault="0029163B" w:rsidP="00315F6C">
      <w:pPr>
        <w:spacing w:after="122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29163B" w:rsidRDefault="0029163B" w:rsidP="00315F6C">
      <w:pPr>
        <w:spacing w:after="122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29163B" w:rsidRDefault="0029163B" w:rsidP="0029163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№17</w:t>
      </w:r>
    </w:p>
    <w:p w:rsidR="0029163B" w:rsidRPr="00315F6C" w:rsidRDefault="0029163B" w:rsidP="0029163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Тема: 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та діагностування елементів технологічного обладнання ССА та її підсистем. Автоматизація контролю та діагностування аеродромних вогнів.</w:t>
      </w:r>
    </w:p>
    <w:p w:rsidR="0029163B" w:rsidRDefault="0029163B" w:rsidP="0029163B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163B" w:rsidRPr="00EA100F" w:rsidRDefault="0029163B" w:rsidP="0029163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10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Методичні рекомендації з підготовки студентів до практичного заняття</w:t>
      </w:r>
    </w:p>
    <w:p w:rsidR="0029163B" w:rsidRPr="0029163B" w:rsidRDefault="0029163B" w:rsidP="0029163B">
      <w:pPr>
        <w:spacing w:before="12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Підготуватися до модульної контрольної роботи з першого модуля  </w:t>
      </w:r>
      <w:r w:rsidRPr="00291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1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291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адійність, контроль та діагностування технічних систем».</w:t>
      </w:r>
    </w:p>
    <w:p w:rsidR="0029163B" w:rsidRPr="00315F6C" w:rsidRDefault="0029163B" w:rsidP="002916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3B" w:rsidRPr="00315F6C" w:rsidRDefault="0029163B" w:rsidP="00291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3B" w:rsidRDefault="0029163B" w:rsidP="0029163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29163B" w:rsidRPr="0029163B" w:rsidRDefault="0029163B" w:rsidP="00291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Основи теорії надійності технічних систем/ О.М. Павлюк, </w:t>
      </w:r>
      <w:r w:rsidRPr="00291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М.О. Медиковський, Н.К. Лиса, І.В. Ізонін – Львів: Львівська політехніка, 2021 – 208 с.</w:t>
      </w:r>
    </w:p>
    <w:p w:rsidR="0029163B" w:rsidRPr="0029163B" w:rsidRDefault="0029163B" w:rsidP="00291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Васильків І.М. Основи теорії ймовірностей і математичної статистики : навч. посібник. –Львів : ЛНУ імені Івана Франка, 2020. – 184 с.</w:t>
      </w:r>
    </w:p>
    <w:p w:rsidR="0029163B" w:rsidRPr="0029163B" w:rsidRDefault="0029163B" w:rsidP="002916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Дев’яткіна 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Надійність системи електропостачання світлосигнальної системи аеродрому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С.С. Дев’яткіна// Матеріали 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XIV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Міжнар. наук-практ. конф. «Інтегровані робото - технічні комплекси», 18-19 травня 2021 - К, 2021.- 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131 – 133.</w:t>
      </w:r>
    </w:p>
    <w:p w:rsidR="0029163B" w:rsidRPr="0029163B" w:rsidRDefault="0029163B" w:rsidP="002916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ДСТУ 2860 – 94 Надійність техніки. Терміни та визначення; Чин. від 01.01.96. – К.: Держстандарт України, 1996. – 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50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</w:p>
    <w:p w:rsidR="0029163B" w:rsidRPr="0029163B" w:rsidRDefault="0029163B" w:rsidP="002916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ДСТУ 2862-94 Надійність техніки. Методи розрахунку показників надійності. Загальні вимоги. </w:t>
      </w:r>
      <w:r w:rsidRPr="00291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чин. від 01.01.1997 - 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К.: Держстандарт України, 1994. – 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24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</w:p>
    <w:p w:rsidR="0029163B" w:rsidRPr="0029163B" w:rsidRDefault="0029163B" w:rsidP="002916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6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 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ДСТУ 2861 – 94 Надійність техніки. Аналіз надійності. Основні положення; Чин. від 01.01.97. – К.: Держстандарт України, 1996. – 39с. </w:t>
      </w:r>
    </w:p>
    <w:p w:rsidR="0029163B" w:rsidRPr="0029163B" w:rsidRDefault="0029163B" w:rsidP="002916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 ДСТУ 2863—94. Надійність техніки. Програма забезпечення надійності. Загальні вимоги; чин. від 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01.01.1997. – К.: Держстандарт України, 1996. – 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44</w:t>
      </w:r>
      <w:r w:rsidRPr="0029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</w:p>
    <w:p w:rsidR="0029163B" w:rsidRPr="0029163B" w:rsidRDefault="0029163B" w:rsidP="002916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163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ДСТУ 2864 - Надійність техніки. Експериментальне оцінювання та контроль надійності.</w:t>
      </w:r>
    </w:p>
    <w:p w:rsidR="00FA594F" w:rsidRPr="003E034D" w:rsidRDefault="00FA594F" w:rsidP="009E1207">
      <w:pPr>
        <w:spacing w:after="1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  <w:sectPr w:rsidR="00FA594F" w:rsidRPr="003E034D" w:rsidSect="00200042">
          <w:headerReference w:type="even" r:id="rId7"/>
          <w:headerReference w:type="default" r:id="rId8"/>
          <w:headerReference w:type="first" r:id="rId9"/>
          <w:pgSz w:w="11904" w:h="16838"/>
          <w:pgMar w:top="1134" w:right="851" w:bottom="1134" w:left="1134" w:header="709" w:footer="709" w:gutter="0"/>
          <w:cols w:space="720"/>
          <w:titlePg/>
          <w:docGrid w:linePitch="299"/>
        </w:sectPr>
      </w:pPr>
      <w:bookmarkStart w:id="2" w:name="_GoBack"/>
      <w:bookmarkEnd w:id="2"/>
    </w:p>
    <w:p w:rsidR="0029163B" w:rsidRDefault="0029163B" w:rsidP="008230C0">
      <w:pPr>
        <w:spacing w:after="18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63B" w:rsidSect="00395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715" w:right="840" w:bottom="1435" w:left="17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35" w:rsidRDefault="00C65C35" w:rsidP="003E034D">
      <w:pPr>
        <w:spacing w:after="0" w:line="240" w:lineRule="auto"/>
      </w:pPr>
      <w:r>
        <w:separator/>
      </w:r>
    </w:p>
  </w:endnote>
  <w:endnote w:type="continuationSeparator" w:id="0">
    <w:p w:rsidR="00C65C35" w:rsidRDefault="00C65C35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35" w:rsidRDefault="00C65C35" w:rsidP="003E034D">
      <w:pPr>
        <w:spacing w:after="0" w:line="240" w:lineRule="auto"/>
      </w:pPr>
      <w:r>
        <w:separator/>
      </w:r>
    </w:p>
  </w:footnote>
  <w:footnote w:type="continuationSeparator" w:id="0">
    <w:p w:rsidR="00C65C35" w:rsidRDefault="00C65C35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r>
            <w:rPr>
              <w:sz w:val="20"/>
            </w:rPr>
            <w:t xml:space="preserve">Cтор.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271"/>
      <w:gridCol w:w="1114"/>
      <w:gridCol w:w="2623"/>
    </w:tblGrid>
    <w:tr w:rsidR="007851FA" w:rsidRPr="00B97FFD" w:rsidTr="00730B28">
      <w:trPr>
        <w:trHeight w:val="706"/>
      </w:trPr>
      <w:tc>
        <w:tcPr>
          <w:tcW w:w="1915" w:type="dxa"/>
          <w:vMerge w:val="restart"/>
        </w:tcPr>
        <w:p w:rsidR="007851FA" w:rsidRPr="00B97FFD" w:rsidRDefault="007851FA" w:rsidP="007851F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40577250" wp14:editId="75C94133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63268064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1" w:type="dxa"/>
          <w:vMerge w:val="restart"/>
          <w:vAlign w:val="center"/>
        </w:tcPr>
        <w:p w:rsidR="007851FA" w:rsidRPr="00B97FFD" w:rsidRDefault="007851FA" w:rsidP="007851FA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lang w:eastAsia="ru-RU"/>
            </w:rPr>
            <w:t>Система менеджменту якості.</w:t>
          </w:r>
        </w:p>
        <w:p w:rsidR="007851FA" w:rsidRPr="003E034D" w:rsidRDefault="007851FA" w:rsidP="007851FA">
          <w:pPr>
            <w:spacing w:after="17"/>
            <w:ind w:left="62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НАВЧАЛЬНО-МЕТОДИЧНИЙ КОМПЛЕКС </w:t>
          </w:r>
        </w:p>
        <w:p w:rsidR="007851FA" w:rsidRPr="003E034D" w:rsidRDefault="007851FA" w:rsidP="007851FA">
          <w:pPr>
            <w:spacing w:after="17"/>
            <w:jc w:val="center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навчальної дисципліни </w:t>
          </w:r>
        </w:p>
        <w:p w:rsidR="007851FA" w:rsidRPr="00B97FFD" w:rsidRDefault="007851FA" w:rsidP="007851FA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>«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Надійність, контроль та діагностування технічних систем»</w:t>
          </w:r>
        </w:p>
      </w:tc>
      <w:tc>
        <w:tcPr>
          <w:tcW w:w="1114" w:type="dxa"/>
          <w:vAlign w:val="center"/>
        </w:tcPr>
        <w:p w:rsidR="007851FA" w:rsidRPr="00B97FFD" w:rsidRDefault="007851FA" w:rsidP="007851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Шифр</w:t>
          </w:r>
        </w:p>
        <w:p w:rsidR="007851FA" w:rsidRPr="00B97FFD" w:rsidRDefault="007851FA" w:rsidP="007851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2623" w:type="dxa"/>
          <w:vAlign w:val="center"/>
        </w:tcPr>
        <w:p w:rsidR="007851FA" w:rsidRPr="00B97FFD" w:rsidRDefault="007851FA" w:rsidP="007851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СМЯ НАУ</w:t>
          </w:r>
        </w:p>
        <w:p w:rsidR="007851FA" w:rsidRPr="00B97FFD" w:rsidRDefault="007851FA" w:rsidP="007851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9033B">
            <w:rPr>
              <w:rFonts w:ascii="Times New Roman" w:eastAsia="Times New Roman" w:hAnsi="Times New Roman" w:cs="Times New Roman"/>
              <w:color w:val="000000"/>
              <w:sz w:val="20"/>
            </w:rPr>
            <w:t>НМК</w:t>
          </w:r>
          <w:r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 xml:space="preserve"> 07.01.07–01–2023</w:t>
          </w:r>
        </w:p>
      </w:tc>
    </w:tr>
    <w:tr w:rsidR="007851FA" w:rsidRPr="00B97FFD" w:rsidTr="00730B28">
      <w:trPr>
        <w:trHeight w:val="644"/>
      </w:trPr>
      <w:tc>
        <w:tcPr>
          <w:tcW w:w="1915" w:type="dxa"/>
          <w:vMerge/>
          <w:tcBorders>
            <w:bottom w:val="single" w:sz="4" w:space="0" w:color="auto"/>
          </w:tcBorders>
        </w:tcPr>
        <w:p w:rsidR="007851FA" w:rsidRPr="00B97FFD" w:rsidRDefault="007851FA" w:rsidP="007851F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271" w:type="dxa"/>
          <w:vMerge/>
          <w:tcBorders>
            <w:bottom w:val="single" w:sz="4" w:space="0" w:color="auto"/>
          </w:tcBorders>
        </w:tcPr>
        <w:p w:rsidR="007851FA" w:rsidRPr="00B97FFD" w:rsidRDefault="007851FA" w:rsidP="007851FA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737" w:type="dxa"/>
          <w:gridSpan w:val="2"/>
          <w:tcBorders>
            <w:bottom w:val="single" w:sz="4" w:space="0" w:color="auto"/>
          </w:tcBorders>
          <w:vAlign w:val="center"/>
        </w:tcPr>
        <w:p w:rsidR="007851FA" w:rsidRPr="00B97FFD" w:rsidRDefault="007851FA" w:rsidP="007851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Стор.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8230C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19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із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8230C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20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7851FA" w:rsidRDefault="007851FA">
    <w:pPr>
      <w:pStyle w:val="a5"/>
    </w:pPr>
  </w:p>
  <w:p w:rsidR="007851FA" w:rsidRDefault="007851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r>
            <w:rPr>
              <w:sz w:val="20"/>
            </w:rPr>
            <w:t xml:space="preserve">Cтор.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1"/>
      <w:gridCol w:w="3789"/>
      <w:gridCol w:w="1661"/>
      <w:gridCol w:w="2373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r>
            <w:rPr>
              <w:sz w:val="20"/>
            </w:rPr>
            <w:t xml:space="preserve">Cтор.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1207" w:rsidRPr="009E120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 w:rsidR="009E1207" w:rsidRPr="009E1207">
              <w:rPr>
                <w:noProof/>
                <w:sz w:val="20"/>
              </w:rPr>
              <w:t>19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502"/>
    <w:multiLevelType w:val="hybridMultilevel"/>
    <w:tmpl w:val="1416F2B2"/>
    <w:lvl w:ilvl="0" w:tplc="907EC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25E8B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1D0F43"/>
    <w:multiLevelType w:val="hybridMultilevel"/>
    <w:tmpl w:val="A2C4B49C"/>
    <w:lvl w:ilvl="0" w:tplc="1946F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65658E"/>
    <w:multiLevelType w:val="hybridMultilevel"/>
    <w:tmpl w:val="F1DAFB9A"/>
    <w:lvl w:ilvl="0" w:tplc="91785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DA6FF4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3DE0E9F"/>
    <w:multiLevelType w:val="hybridMultilevel"/>
    <w:tmpl w:val="899C94FE"/>
    <w:lvl w:ilvl="0" w:tplc="B420A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0871D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EE6D0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C70386"/>
    <w:multiLevelType w:val="hybridMultilevel"/>
    <w:tmpl w:val="799248C8"/>
    <w:lvl w:ilvl="0" w:tplc="52947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63545D"/>
    <w:multiLevelType w:val="hybridMultilevel"/>
    <w:tmpl w:val="BC98C486"/>
    <w:lvl w:ilvl="0" w:tplc="D51A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F81D96"/>
    <w:multiLevelType w:val="hybridMultilevel"/>
    <w:tmpl w:val="8F02AEB2"/>
    <w:lvl w:ilvl="0" w:tplc="95205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F75E6E"/>
    <w:multiLevelType w:val="hybridMultilevel"/>
    <w:tmpl w:val="FBC44DCE"/>
    <w:lvl w:ilvl="0" w:tplc="80141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D82040"/>
    <w:multiLevelType w:val="hybridMultilevel"/>
    <w:tmpl w:val="346C7B20"/>
    <w:lvl w:ilvl="0" w:tplc="623067D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A42A03"/>
    <w:multiLevelType w:val="hybridMultilevel"/>
    <w:tmpl w:val="AFD40062"/>
    <w:lvl w:ilvl="0" w:tplc="3294B484">
      <w:start w:val="1"/>
      <w:numFmt w:val="decimal"/>
      <w:lvlText w:val="%1."/>
      <w:lvlJc w:val="left"/>
      <w:pPr>
        <w:ind w:left="26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19" w:hanging="360"/>
      </w:pPr>
    </w:lvl>
    <w:lvl w:ilvl="2" w:tplc="0422001B" w:tentative="1">
      <w:start w:val="1"/>
      <w:numFmt w:val="lowerRoman"/>
      <w:lvlText w:val="%3."/>
      <w:lvlJc w:val="right"/>
      <w:pPr>
        <w:ind w:left="4139" w:hanging="180"/>
      </w:pPr>
    </w:lvl>
    <w:lvl w:ilvl="3" w:tplc="0422000F" w:tentative="1">
      <w:start w:val="1"/>
      <w:numFmt w:val="decimal"/>
      <w:lvlText w:val="%4."/>
      <w:lvlJc w:val="left"/>
      <w:pPr>
        <w:ind w:left="4859" w:hanging="360"/>
      </w:pPr>
    </w:lvl>
    <w:lvl w:ilvl="4" w:tplc="04220019" w:tentative="1">
      <w:start w:val="1"/>
      <w:numFmt w:val="lowerLetter"/>
      <w:lvlText w:val="%5."/>
      <w:lvlJc w:val="left"/>
      <w:pPr>
        <w:ind w:left="5579" w:hanging="360"/>
      </w:pPr>
    </w:lvl>
    <w:lvl w:ilvl="5" w:tplc="0422001B" w:tentative="1">
      <w:start w:val="1"/>
      <w:numFmt w:val="lowerRoman"/>
      <w:lvlText w:val="%6."/>
      <w:lvlJc w:val="right"/>
      <w:pPr>
        <w:ind w:left="6299" w:hanging="180"/>
      </w:pPr>
    </w:lvl>
    <w:lvl w:ilvl="6" w:tplc="0422000F" w:tentative="1">
      <w:start w:val="1"/>
      <w:numFmt w:val="decimal"/>
      <w:lvlText w:val="%7."/>
      <w:lvlJc w:val="left"/>
      <w:pPr>
        <w:ind w:left="7019" w:hanging="360"/>
      </w:pPr>
    </w:lvl>
    <w:lvl w:ilvl="7" w:tplc="04220019" w:tentative="1">
      <w:start w:val="1"/>
      <w:numFmt w:val="lowerLetter"/>
      <w:lvlText w:val="%8."/>
      <w:lvlJc w:val="left"/>
      <w:pPr>
        <w:ind w:left="7739" w:hanging="360"/>
      </w:pPr>
    </w:lvl>
    <w:lvl w:ilvl="8" w:tplc="0422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4" w15:restartNumberingAfterBreak="0">
    <w:nsid w:val="2146223F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D45B5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0D1EDC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0125AD"/>
    <w:multiLevelType w:val="hybridMultilevel"/>
    <w:tmpl w:val="5238B9E4"/>
    <w:lvl w:ilvl="0" w:tplc="DF4E2C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2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E2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4E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C6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6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CD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89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7E2D4A"/>
    <w:multiLevelType w:val="hybridMultilevel"/>
    <w:tmpl w:val="DBBC7E36"/>
    <w:lvl w:ilvl="0" w:tplc="0A20A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90B94"/>
    <w:multiLevelType w:val="hybridMultilevel"/>
    <w:tmpl w:val="6ABE69A6"/>
    <w:lvl w:ilvl="0" w:tplc="C682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E412D4"/>
    <w:multiLevelType w:val="hybridMultilevel"/>
    <w:tmpl w:val="19229512"/>
    <w:lvl w:ilvl="0" w:tplc="F06CF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EC0E02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610522"/>
    <w:multiLevelType w:val="hybridMultilevel"/>
    <w:tmpl w:val="31E0C066"/>
    <w:lvl w:ilvl="0" w:tplc="9A342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323A2F"/>
    <w:multiLevelType w:val="hybridMultilevel"/>
    <w:tmpl w:val="C984848A"/>
    <w:lvl w:ilvl="0" w:tplc="06762084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490B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1FF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29B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C357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43CA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0925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E909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E60A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263B38"/>
    <w:multiLevelType w:val="hybridMultilevel"/>
    <w:tmpl w:val="D910ECB6"/>
    <w:lvl w:ilvl="0" w:tplc="C970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2D3B1B"/>
    <w:multiLevelType w:val="hybridMultilevel"/>
    <w:tmpl w:val="346C7B20"/>
    <w:lvl w:ilvl="0" w:tplc="623067D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4462DE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6B053B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9638D4"/>
    <w:multiLevelType w:val="hybridMultilevel"/>
    <w:tmpl w:val="E312E854"/>
    <w:lvl w:ilvl="0" w:tplc="5776B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C644A6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2F0F54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58138D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B4214C"/>
    <w:multiLevelType w:val="hybridMultilevel"/>
    <w:tmpl w:val="0D5E4BC4"/>
    <w:lvl w:ilvl="0" w:tplc="8292B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4ED3303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C8608F"/>
    <w:multiLevelType w:val="hybridMultilevel"/>
    <w:tmpl w:val="BAA6F292"/>
    <w:lvl w:ilvl="0" w:tplc="9650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007C60"/>
    <w:multiLevelType w:val="hybridMultilevel"/>
    <w:tmpl w:val="9C4EEE6E"/>
    <w:lvl w:ilvl="0" w:tplc="A8E4D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991B8C"/>
    <w:multiLevelType w:val="hybridMultilevel"/>
    <w:tmpl w:val="05C24112"/>
    <w:lvl w:ilvl="0" w:tplc="FE803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E34C6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530957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656F79"/>
    <w:multiLevelType w:val="hybridMultilevel"/>
    <w:tmpl w:val="B2FE6AFE"/>
    <w:lvl w:ilvl="0" w:tplc="8D5C8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8"/>
  </w:num>
  <w:num w:numId="5">
    <w:abstractNumId w:val="9"/>
  </w:num>
  <w:num w:numId="6">
    <w:abstractNumId w:val="18"/>
  </w:num>
  <w:num w:numId="7">
    <w:abstractNumId w:val="35"/>
  </w:num>
  <w:num w:numId="8">
    <w:abstractNumId w:val="22"/>
  </w:num>
  <w:num w:numId="9">
    <w:abstractNumId w:val="11"/>
  </w:num>
  <w:num w:numId="10">
    <w:abstractNumId w:val="20"/>
  </w:num>
  <w:num w:numId="11">
    <w:abstractNumId w:val="19"/>
  </w:num>
  <w:num w:numId="12">
    <w:abstractNumId w:val="2"/>
  </w:num>
  <w:num w:numId="13">
    <w:abstractNumId w:val="10"/>
  </w:num>
  <w:num w:numId="14">
    <w:abstractNumId w:val="0"/>
  </w:num>
  <w:num w:numId="15">
    <w:abstractNumId w:val="36"/>
  </w:num>
  <w:num w:numId="16">
    <w:abstractNumId w:val="24"/>
  </w:num>
  <w:num w:numId="17">
    <w:abstractNumId w:val="5"/>
  </w:num>
  <w:num w:numId="18">
    <w:abstractNumId w:val="34"/>
  </w:num>
  <w:num w:numId="19">
    <w:abstractNumId w:val="32"/>
  </w:num>
  <w:num w:numId="20">
    <w:abstractNumId w:val="39"/>
  </w:num>
  <w:num w:numId="21">
    <w:abstractNumId w:val="14"/>
  </w:num>
  <w:num w:numId="22">
    <w:abstractNumId w:val="7"/>
  </w:num>
  <w:num w:numId="23">
    <w:abstractNumId w:val="26"/>
  </w:num>
  <w:num w:numId="24">
    <w:abstractNumId w:val="15"/>
  </w:num>
  <w:num w:numId="25">
    <w:abstractNumId w:val="1"/>
  </w:num>
  <w:num w:numId="26">
    <w:abstractNumId w:val="29"/>
  </w:num>
  <w:num w:numId="27">
    <w:abstractNumId w:val="31"/>
  </w:num>
  <w:num w:numId="28">
    <w:abstractNumId w:val="30"/>
  </w:num>
  <w:num w:numId="29">
    <w:abstractNumId w:val="6"/>
  </w:num>
  <w:num w:numId="30">
    <w:abstractNumId w:val="33"/>
  </w:num>
  <w:num w:numId="31">
    <w:abstractNumId w:val="37"/>
  </w:num>
  <w:num w:numId="32">
    <w:abstractNumId w:val="38"/>
  </w:num>
  <w:num w:numId="33">
    <w:abstractNumId w:val="12"/>
  </w:num>
  <w:num w:numId="34">
    <w:abstractNumId w:val="25"/>
  </w:num>
  <w:num w:numId="35">
    <w:abstractNumId w:val="27"/>
  </w:num>
  <w:num w:numId="36">
    <w:abstractNumId w:val="21"/>
  </w:num>
  <w:num w:numId="37">
    <w:abstractNumId w:val="16"/>
  </w:num>
  <w:num w:numId="38">
    <w:abstractNumId w:val="3"/>
  </w:num>
  <w:num w:numId="39">
    <w:abstractNumId w:val="2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4D"/>
    <w:rsid w:val="00030F06"/>
    <w:rsid w:val="00052BA5"/>
    <w:rsid w:val="00155DF1"/>
    <w:rsid w:val="001650CA"/>
    <w:rsid w:val="00200042"/>
    <w:rsid w:val="00233E66"/>
    <w:rsid w:val="00244F21"/>
    <w:rsid w:val="00263BA1"/>
    <w:rsid w:val="0029163B"/>
    <w:rsid w:val="00315F6C"/>
    <w:rsid w:val="00395A41"/>
    <w:rsid w:val="003E034D"/>
    <w:rsid w:val="00467283"/>
    <w:rsid w:val="004B4E5C"/>
    <w:rsid w:val="00585F1A"/>
    <w:rsid w:val="005B5A14"/>
    <w:rsid w:val="00765FDF"/>
    <w:rsid w:val="0077159E"/>
    <w:rsid w:val="007851FA"/>
    <w:rsid w:val="00796D0C"/>
    <w:rsid w:val="00822378"/>
    <w:rsid w:val="008230C0"/>
    <w:rsid w:val="009054AE"/>
    <w:rsid w:val="00917393"/>
    <w:rsid w:val="009879BD"/>
    <w:rsid w:val="00996F9B"/>
    <w:rsid w:val="009E1207"/>
    <w:rsid w:val="00A00CE2"/>
    <w:rsid w:val="00A752B0"/>
    <w:rsid w:val="00AA0241"/>
    <w:rsid w:val="00B33609"/>
    <w:rsid w:val="00B54560"/>
    <w:rsid w:val="00C65C35"/>
    <w:rsid w:val="00CE11EF"/>
    <w:rsid w:val="00D40E61"/>
    <w:rsid w:val="00D45A0A"/>
    <w:rsid w:val="00D70F6C"/>
    <w:rsid w:val="00E5314A"/>
    <w:rsid w:val="00EA100F"/>
    <w:rsid w:val="00F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5E677"/>
  <w15:chartTrackingRefBased/>
  <w15:docId w15:val="{0A902C1E-9ADB-4763-BEB5-5EB8C19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10026</Words>
  <Characters>5716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9</cp:revision>
  <dcterms:created xsi:type="dcterms:W3CDTF">2023-06-23T13:05:00Z</dcterms:created>
  <dcterms:modified xsi:type="dcterms:W3CDTF">2023-07-27T09:33:00Z</dcterms:modified>
</cp:coreProperties>
</file>