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4698" w14:textId="77777777" w:rsidR="00FA4C8A" w:rsidRPr="009C697D" w:rsidRDefault="004040AC" w:rsidP="003F2CDD">
      <w:pPr>
        <w:spacing w:line="360" w:lineRule="auto"/>
        <w:rPr>
          <w:rFonts w:ascii="Times New Roman" w:hAnsi="Times New Roman" w:cs="Times New Roman"/>
          <w:sz w:val="28"/>
          <w:szCs w:val="28"/>
        </w:rPr>
      </w:pPr>
      <w:r w:rsidRPr="009C697D">
        <w:rPr>
          <w:rFonts w:ascii="Times New Roman" w:hAnsi="Times New Roman" w:cs="Times New Roman"/>
          <w:sz w:val="28"/>
          <w:szCs w:val="28"/>
        </w:rPr>
        <w:t>UDC</w:t>
      </w:r>
    </w:p>
    <w:p w14:paraId="5FBA0384" w14:textId="77777777" w:rsidR="004040AC" w:rsidRPr="009C697D" w:rsidRDefault="00FD40B8" w:rsidP="003F2CDD">
      <w:pPr>
        <w:spacing w:line="360" w:lineRule="auto"/>
        <w:jc w:val="right"/>
        <w:rPr>
          <w:rFonts w:ascii="Times New Roman" w:hAnsi="Times New Roman" w:cs="Times New Roman"/>
          <w:sz w:val="28"/>
          <w:szCs w:val="28"/>
        </w:rPr>
      </w:pPr>
      <w:bookmarkStart w:id="0" w:name="_GoBack"/>
      <w:r w:rsidRPr="009C697D">
        <w:rPr>
          <w:rFonts w:ascii="Times New Roman" w:hAnsi="Times New Roman" w:cs="Times New Roman"/>
          <w:sz w:val="28"/>
          <w:szCs w:val="28"/>
        </w:rPr>
        <w:t>Polajžar A.</w:t>
      </w:r>
    </w:p>
    <w:bookmarkEnd w:id="0"/>
    <w:p w14:paraId="7E25D809" w14:textId="77777777" w:rsidR="004040AC" w:rsidRPr="009C697D" w:rsidRDefault="004040AC" w:rsidP="003F2CDD">
      <w:pPr>
        <w:spacing w:line="360" w:lineRule="auto"/>
        <w:jc w:val="right"/>
        <w:rPr>
          <w:rFonts w:ascii="Times New Roman" w:hAnsi="Times New Roman" w:cs="Times New Roman"/>
          <w:b/>
          <w:sz w:val="28"/>
          <w:szCs w:val="28"/>
        </w:rPr>
      </w:pPr>
      <w:r w:rsidRPr="009C697D">
        <w:rPr>
          <w:rFonts w:ascii="Times New Roman" w:hAnsi="Times New Roman" w:cs="Times New Roman"/>
          <w:b/>
          <w:sz w:val="28"/>
          <w:szCs w:val="28"/>
        </w:rPr>
        <w:t>Postgraduate student at Faculty of Law, University of Maribor, Slovenia</w:t>
      </w:r>
    </w:p>
    <w:p w14:paraId="0CDDBF7E" w14:textId="44BC3B60" w:rsidR="004040AC" w:rsidRPr="009C697D" w:rsidRDefault="00AA61E7" w:rsidP="003F2CDD">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M</w:t>
      </w:r>
      <w:proofErr w:type="spellStart"/>
      <w:r w:rsidRPr="009C697D">
        <w:rPr>
          <w:rFonts w:ascii="Times New Roman" w:hAnsi="Times New Roman" w:cs="Times New Roman"/>
          <w:b/>
          <w:sz w:val="28"/>
          <w:szCs w:val="28"/>
        </w:rPr>
        <w:t>emorial</w:t>
      </w:r>
      <w:proofErr w:type="spellEnd"/>
      <w:r w:rsidRPr="009C697D">
        <w:rPr>
          <w:rFonts w:ascii="Times New Roman" w:hAnsi="Times New Roman" w:cs="Times New Roman"/>
          <w:b/>
          <w:sz w:val="28"/>
          <w:szCs w:val="28"/>
        </w:rPr>
        <w:t xml:space="preserve"> on the forgotten framework decision</w:t>
      </w:r>
    </w:p>
    <w:p w14:paraId="3207FFBE" w14:textId="1798AFD4" w:rsidR="009C0A95" w:rsidRPr="009C697D" w:rsidRDefault="00CC3946" w:rsidP="003F2CDD">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 xml:space="preserve">In the year 2000 the European Commission </w:t>
      </w:r>
      <w:r w:rsidR="00370DBA" w:rsidRPr="009C697D">
        <w:rPr>
          <w:rFonts w:ascii="Times New Roman" w:hAnsi="Times New Roman" w:cs="Times New Roman"/>
          <w:sz w:val="28"/>
          <w:szCs w:val="28"/>
        </w:rPr>
        <w:t xml:space="preserve">stated that according to </w:t>
      </w:r>
      <w:r w:rsidRPr="009C697D">
        <w:rPr>
          <w:rFonts w:ascii="Times New Roman" w:hAnsi="Times New Roman" w:cs="Times New Roman"/>
          <w:sz w:val="28"/>
          <w:szCs w:val="28"/>
        </w:rPr>
        <w:t xml:space="preserve">the principle of mutual recognition </w:t>
      </w:r>
      <w:r w:rsidRPr="009C697D">
        <w:rPr>
          <w:rFonts w:ascii="Times New Roman" w:hAnsi="Times New Roman" w:cs="Times New Roman"/>
          <w:i/>
          <w:sz w:val="28"/>
          <w:szCs w:val="28"/>
        </w:rPr>
        <w:t>a judicial decision once taken in one Member State should automatically be accepted in all other Member States, and have the same or at least similar effects there</w:t>
      </w:r>
      <w:r w:rsidRPr="009C697D">
        <w:rPr>
          <w:rFonts w:ascii="Times New Roman" w:hAnsi="Times New Roman" w:cs="Times New Roman"/>
          <w:sz w:val="28"/>
          <w:szCs w:val="28"/>
        </w:rPr>
        <w:t xml:space="preserve"> [</w:t>
      </w:r>
      <w:r w:rsidR="00370DBA" w:rsidRPr="009C697D">
        <w:rPr>
          <w:rFonts w:ascii="Times New Roman" w:hAnsi="Times New Roman" w:cs="Times New Roman"/>
          <w:sz w:val="28"/>
          <w:szCs w:val="28"/>
        </w:rPr>
        <w:t>1. P</w:t>
      </w:r>
      <w:r w:rsidRPr="009C697D">
        <w:rPr>
          <w:rFonts w:ascii="Times New Roman" w:hAnsi="Times New Roman" w:cs="Times New Roman"/>
          <w:sz w:val="28"/>
          <w:szCs w:val="28"/>
        </w:rPr>
        <w:t xml:space="preserve">. 440]. </w:t>
      </w:r>
      <w:r w:rsidR="009C0A95" w:rsidRPr="009C697D">
        <w:rPr>
          <w:rFonts w:ascii="Times New Roman" w:hAnsi="Times New Roman" w:cs="Times New Roman"/>
          <w:sz w:val="28"/>
          <w:szCs w:val="28"/>
        </w:rPr>
        <w:t xml:space="preserve">In the 2002-2009 (pre-Lisbon) </w:t>
      </w:r>
      <w:r w:rsidR="00370DBA" w:rsidRPr="009C697D">
        <w:rPr>
          <w:rFonts w:ascii="Times New Roman" w:hAnsi="Times New Roman" w:cs="Times New Roman"/>
          <w:sz w:val="28"/>
          <w:szCs w:val="28"/>
        </w:rPr>
        <w:t>era,</w:t>
      </w:r>
      <w:r w:rsidR="009C0A95" w:rsidRPr="009C697D">
        <w:rPr>
          <w:rFonts w:ascii="Times New Roman" w:hAnsi="Times New Roman" w:cs="Times New Roman"/>
          <w:sz w:val="28"/>
          <w:szCs w:val="28"/>
        </w:rPr>
        <w:t xml:space="preserve"> the </w:t>
      </w:r>
      <w:r w:rsidR="00370DBA" w:rsidRPr="009C697D">
        <w:rPr>
          <w:rFonts w:ascii="Times New Roman" w:hAnsi="Times New Roman" w:cs="Times New Roman"/>
          <w:sz w:val="28"/>
          <w:szCs w:val="28"/>
        </w:rPr>
        <w:t xml:space="preserve">European Union (hereinafter: </w:t>
      </w:r>
      <w:r w:rsidR="009C0A95" w:rsidRPr="009C697D">
        <w:rPr>
          <w:rFonts w:ascii="Times New Roman" w:hAnsi="Times New Roman" w:cs="Times New Roman"/>
          <w:sz w:val="28"/>
          <w:szCs w:val="28"/>
        </w:rPr>
        <w:t>EU</w:t>
      </w:r>
      <w:r w:rsidR="00370DBA" w:rsidRPr="009C697D">
        <w:rPr>
          <w:rFonts w:ascii="Times New Roman" w:hAnsi="Times New Roman" w:cs="Times New Roman"/>
          <w:sz w:val="28"/>
          <w:szCs w:val="28"/>
        </w:rPr>
        <w:t>)</w:t>
      </w:r>
      <w:r w:rsidR="009C0A95" w:rsidRPr="009C697D">
        <w:rPr>
          <w:rFonts w:ascii="Times New Roman" w:hAnsi="Times New Roman" w:cs="Times New Roman"/>
          <w:sz w:val="28"/>
          <w:szCs w:val="28"/>
        </w:rPr>
        <w:t xml:space="preserve"> adopted </w:t>
      </w:r>
      <w:r w:rsidR="00D85394" w:rsidRPr="009C697D">
        <w:rPr>
          <w:rFonts w:ascii="Times New Roman" w:hAnsi="Times New Roman" w:cs="Times New Roman"/>
          <w:sz w:val="28"/>
          <w:szCs w:val="28"/>
        </w:rPr>
        <w:t xml:space="preserve">a special kind of legislative acts, namely </w:t>
      </w:r>
      <w:r w:rsidR="009C0A95" w:rsidRPr="009C697D">
        <w:rPr>
          <w:rFonts w:ascii="Times New Roman" w:hAnsi="Times New Roman" w:cs="Times New Roman"/>
          <w:i/>
          <w:sz w:val="28"/>
          <w:szCs w:val="28"/>
        </w:rPr>
        <w:t>framework decisions</w:t>
      </w:r>
      <w:r w:rsidR="00A552E1" w:rsidRPr="009C697D">
        <w:rPr>
          <w:rFonts w:ascii="Times New Roman" w:hAnsi="Times New Roman" w:cs="Times New Roman"/>
          <w:i/>
          <w:sz w:val="28"/>
          <w:szCs w:val="28"/>
        </w:rPr>
        <w:t xml:space="preserve"> </w:t>
      </w:r>
      <w:r w:rsidR="00A552E1" w:rsidRPr="009C697D">
        <w:rPr>
          <w:rFonts w:ascii="Times New Roman" w:hAnsi="Times New Roman" w:cs="Times New Roman"/>
          <w:sz w:val="28"/>
          <w:szCs w:val="28"/>
        </w:rPr>
        <w:t>[hereinafter: FDs]</w:t>
      </w:r>
      <w:r w:rsidR="009C0A95" w:rsidRPr="009C697D">
        <w:rPr>
          <w:rFonts w:ascii="Times New Roman" w:hAnsi="Times New Roman" w:cs="Times New Roman"/>
          <w:sz w:val="28"/>
          <w:szCs w:val="28"/>
        </w:rPr>
        <w:t xml:space="preserve"> in order to foster mutual recognition of judicial decisions between EU Member States in criminal matters [</w:t>
      </w:r>
      <w:r w:rsidR="00E55052" w:rsidRPr="009C697D">
        <w:rPr>
          <w:rFonts w:ascii="Times New Roman" w:hAnsi="Times New Roman" w:cs="Times New Roman"/>
          <w:sz w:val="28"/>
          <w:szCs w:val="28"/>
        </w:rPr>
        <w:t>7</w:t>
      </w:r>
      <w:r w:rsidR="00AF3892" w:rsidRPr="009C697D">
        <w:rPr>
          <w:rFonts w:ascii="Times New Roman" w:hAnsi="Times New Roman" w:cs="Times New Roman"/>
          <w:sz w:val="28"/>
          <w:szCs w:val="28"/>
        </w:rPr>
        <w:t>. P</w:t>
      </w:r>
      <w:r w:rsidR="009C0A95" w:rsidRPr="009C697D">
        <w:rPr>
          <w:rFonts w:ascii="Times New Roman" w:hAnsi="Times New Roman" w:cs="Times New Roman"/>
          <w:sz w:val="28"/>
          <w:szCs w:val="28"/>
        </w:rPr>
        <w:t xml:space="preserve">. 14]. Indeed, the </w:t>
      </w:r>
      <w:r w:rsidR="00773815" w:rsidRPr="009C697D">
        <w:rPr>
          <w:rFonts w:ascii="Times New Roman" w:hAnsi="Times New Roman" w:cs="Times New Roman"/>
          <w:sz w:val="28"/>
          <w:szCs w:val="28"/>
        </w:rPr>
        <w:t xml:space="preserve">drafters of the </w:t>
      </w:r>
      <w:r w:rsidR="009C0A95" w:rsidRPr="009C697D">
        <w:rPr>
          <w:rFonts w:ascii="Times New Roman" w:hAnsi="Times New Roman" w:cs="Times New Roman"/>
          <w:sz w:val="28"/>
          <w:szCs w:val="28"/>
        </w:rPr>
        <w:t>Lisbon Treat</w:t>
      </w:r>
      <w:r w:rsidR="00591447" w:rsidRPr="009C697D">
        <w:rPr>
          <w:rFonts w:ascii="Times New Roman" w:hAnsi="Times New Roman" w:cs="Times New Roman"/>
          <w:sz w:val="28"/>
          <w:szCs w:val="28"/>
        </w:rPr>
        <w:t>y have</w:t>
      </w:r>
      <w:r w:rsidR="009C0A95" w:rsidRPr="009C697D">
        <w:rPr>
          <w:rFonts w:ascii="Times New Roman" w:hAnsi="Times New Roman" w:cs="Times New Roman"/>
          <w:sz w:val="28"/>
          <w:szCs w:val="28"/>
        </w:rPr>
        <w:t xml:space="preserve"> </w:t>
      </w:r>
      <w:r w:rsidR="00591447" w:rsidRPr="009C697D">
        <w:rPr>
          <w:rFonts w:ascii="Times New Roman" w:hAnsi="Times New Roman" w:cs="Times New Roman"/>
          <w:sz w:val="28"/>
          <w:szCs w:val="28"/>
        </w:rPr>
        <w:t>a</w:t>
      </w:r>
      <w:r w:rsidR="009C0A95" w:rsidRPr="009C697D">
        <w:rPr>
          <w:rFonts w:ascii="Times New Roman" w:hAnsi="Times New Roman" w:cs="Times New Roman"/>
          <w:sz w:val="28"/>
          <w:szCs w:val="28"/>
        </w:rPr>
        <w:t>bolished the legal bas</w:t>
      </w:r>
      <w:r w:rsidR="00773815" w:rsidRPr="009C697D">
        <w:rPr>
          <w:rFonts w:ascii="Times New Roman" w:hAnsi="Times New Roman" w:cs="Times New Roman"/>
          <w:sz w:val="28"/>
          <w:szCs w:val="28"/>
        </w:rPr>
        <w:t xml:space="preserve">is to adopt </w:t>
      </w:r>
      <w:r w:rsidR="00A552E1" w:rsidRPr="009C697D">
        <w:rPr>
          <w:rFonts w:ascii="Times New Roman" w:hAnsi="Times New Roman" w:cs="Times New Roman"/>
          <w:sz w:val="28"/>
          <w:szCs w:val="28"/>
        </w:rPr>
        <w:t xml:space="preserve">FDs </w:t>
      </w:r>
      <w:r w:rsidR="0067350A" w:rsidRPr="009C697D">
        <w:rPr>
          <w:rFonts w:ascii="Times New Roman" w:hAnsi="Times New Roman" w:cs="Times New Roman"/>
          <w:sz w:val="28"/>
          <w:szCs w:val="28"/>
        </w:rPr>
        <w:t>from the Treaty on European Union (hereinafter: TEU)</w:t>
      </w:r>
      <w:r w:rsidR="001A2A50" w:rsidRPr="009C697D">
        <w:rPr>
          <w:rFonts w:ascii="Times New Roman" w:hAnsi="Times New Roman" w:cs="Times New Roman"/>
          <w:sz w:val="28"/>
          <w:szCs w:val="28"/>
        </w:rPr>
        <w:t xml:space="preserve">. Yet, this does not mean that </w:t>
      </w:r>
      <w:r w:rsidR="00A552E1" w:rsidRPr="009C697D">
        <w:rPr>
          <w:rFonts w:ascii="Times New Roman" w:hAnsi="Times New Roman" w:cs="Times New Roman"/>
          <w:sz w:val="28"/>
          <w:szCs w:val="28"/>
        </w:rPr>
        <w:t xml:space="preserve">FDs </w:t>
      </w:r>
      <w:r w:rsidR="001A2A50" w:rsidRPr="009C697D">
        <w:rPr>
          <w:rFonts w:ascii="Times New Roman" w:hAnsi="Times New Roman" w:cs="Times New Roman"/>
          <w:sz w:val="28"/>
          <w:szCs w:val="28"/>
        </w:rPr>
        <w:t xml:space="preserve">are stone aged relics to be forgotten. </w:t>
      </w:r>
      <w:r w:rsidR="00773815" w:rsidRPr="009C697D">
        <w:rPr>
          <w:rFonts w:ascii="Times New Roman" w:hAnsi="Times New Roman" w:cs="Times New Roman"/>
          <w:sz w:val="28"/>
          <w:szCs w:val="28"/>
        </w:rPr>
        <w:t xml:space="preserve">At this date, </w:t>
      </w:r>
      <w:r w:rsidR="00A552E1" w:rsidRPr="009C697D">
        <w:rPr>
          <w:rFonts w:ascii="Times New Roman" w:hAnsi="Times New Roman" w:cs="Times New Roman"/>
          <w:sz w:val="28"/>
          <w:szCs w:val="28"/>
        </w:rPr>
        <w:t>FDs</w:t>
      </w:r>
      <w:r w:rsidR="00773815" w:rsidRPr="009C697D">
        <w:rPr>
          <w:rFonts w:ascii="Times New Roman" w:hAnsi="Times New Roman" w:cs="Times New Roman"/>
          <w:sz w:val="28"/>
          <w:szCs w:val="28"/>
        </w:rPr>
        <w:t xml:space="preserve"> relevantly shape mutual recognition and cooperation in criminal matters on the EU level.</w:t>
      </w:r>
      <w:r w:rsidR="00970581" w:rsidRPr="009C697D">
        <w:rPr>
          <w:rFonts w:ascii="Times New Roman" w:hAnsi="Times New Roman" w:cs="Times New Roman"/>
          <w:sz w:val="28"/>
          <w:szCs w:val="28"/>
        </w:rPr>
        <w:t xml:space="preserve"> </w:t>
      </w:r>
      <w:r w:rsidR="00773815" w:rsidRPr="009C697D">
        <w:rPr>
          <w:rFonts w:ascii="Times New Roman" w:hAnsi="Times New Roman" w:cs="Times New Roman"/>
          <w:sz w:val="28"/>
          <w:szCs w:val="28"/>
        </w:rPr>
        <w:t>Thus</w:t>
      </w:r>
      <w:r w:rsidR="00970581" w:rsidRPr="009C697D">
        <w:rPr>
          <w:rFonts w:ascii="Times New Roman" w:hAnsi="Times New Roman" w:cs="Times New Roman"/>
          <w:sz w:val="28"/>
          <w:szCs w:val="28"/>
        </w:rPr>
        <w:t>,</w:t>
      </w:r>
      <w:r w:rsidR="00773815" w:rsidRPr="009C697D">
        <w:rPr>
          <w:rFonts w:ascii="Times New Roman" w:hAnsi="Times New Roman" w:cs="Times New Roman"/>
          <w:sz w:val="28"/>
          <w:szCs w:val="28"/>
        </w:rPr>
        <w:t xml:space="preserve"> </w:t>
      </w:r>
      <w:r w:rsidR="009C0A95" w:rsidRPr="009C697D">
        <w:rPr>
          <w:rFonts w:ascii="Times New Roman" w:hAnsi="Times New Roman" w:cs="Times New Roman"/>
          <w:sz w:val="28"/>
          <w:szCs w:val="28"/>
        </w:rPr>
        <w:t xml:space="preserve">the analysis of </w:t>
      </w:r>
      <w:r w:rsidR="00970581" w:rsidRPr="009C697D">
        <w:rPr>
          <w:rFonts w:ascii="Times New Roman" w:hAnsi="Times New Roman" w:cs="Times New Roman"/>
          <w:sz w:val="28"/>
          <w:szCs w:val="28"/>
        </w:rPr>
        <w:t>FDs</w:t>
      </w:r>
      <w:r w:rsidR="009C0A95" w:rsidRPr="009C697D">
        <w:rPr>
          <w:rFonts w:ascii="Times New Roman" w:hAnsi="Times New Roman" w:cs="Times New Roman"/>
          <w:sz w:val="28"/>
          <w:szCs w:val="28"/>
        </w:rPr>
        <w:t xml:space="preserve">` legal nature </w:t>
      </w:r>
      <w:r w:rsidR="00773815" w:rsidRPr="009C697D">
        <w:rPr>
          <w:rFonts w:ascii="Times New Roman" w:hAnsi="Times New Roman" w:cs="Times New Roman"/>
          <w:sz w:val="28"/>
          <w:szCs w:val="28"/>
        </w:rPr>
        <w:t xml:space="preserve">in connection to </w:t>
      </w:r>
      <w:r w:rsidR="00AF3892" w:rsidRPr="009C697D">
        <w:rPr>
          <w:rFonts w:ascii="Times New Roman" w:hAnsi="Times New Roman" w:cs="Times New Roman"/>
          <w:sz w:val="28"/>
          <w:szCs w:val="28"/>
        </w:rPr>
        <w:t xml:space="preserve">mutual recognition </w:t>
      </w:r>
      <w:r w:rsidR="009C0A95" w:rsidRPr="009C697D">
        <w:rPr>
          <w:rFonts w:ascii="Times New Roman" w:hAnsi="Times New Roman" w:cs="Times New Roman"/>
          <w:sz w:val="28"/>
          <w:szCs w:val="28"/>
        </w:rPr>
        <w:t xml:space="preserve">is still of contemporary importance.  </w:t>
      </w:r>
    </w:p>
    <w:p w14:paraId="77EAF3FC" w14:textId="3F245A89" w:rsidR="009C0A95" w:rsidRPr="009C697D" w:rsidRDefault="009C0A95" w:rsidP="003F2CDD">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 xml:space="preserve">This is true </w:t>
      </w:r>
      <w:r w:rsidR="00591447" w:rsidRPr="009C697D">
        <w:rPr>
          <w:rFonts w:ascii="Times New Roman" w:hAnsi="Times New Roman" w:cs="Times New Roman"/>
          <w:sz w:val="28"/>
          <w:szCs w:val="28"/>
        </w:rPr>
        <w:t>because,</w:t>
      </w:r>
      <w:r w:rsidRPr="009C697D">
        <w:rPr>
          <w:rFonts w:ascii="Times New Roman" w:hAnsi="Times New Roman" w:cs="Times New Roman"/>
          <w:sz w:val="28"/>
          <w:szCs w:val="28"/>
        </w:rPr>
        <w:t xml:space="preserve"> </w:t>
      </w:r>
      <w:r w:rsidR="00591447" w:rsidRPr="009C697D">
        <w:rPr>
          <w:rFonts w:ascii="Times New Roman" w:hAnsi="Times New Roman" w:cs="Times New Roman"/>
          <w:i/>
          <w:sz w:val="28"/>
          <w:szCs w:val="28"/>
        </w:rPr>
        <w:t>inter alia</w:t>
      </w:r>
      <w:r w:rsidR="00591447" w:rsidRPr="009C697D">
        <w:rPr>
          <w:rFonts w:ascii="Times New Roman" w:hAnsi="Times New Roman" w:cs="Times New Roman"/>
          <w:sz w:val="28"/>
          <w:szCs w:val="28"/>
        </w:rPr>
        <w:t xml:space="preserve">, </w:t>
      </w:r>
      <w:r w:rsidRPr="009C697D">
        <w:rPr>
          <w:rFonts w:ascii="Times New Roman" w:hAnsi="Times New Roman" w:cs="Times New Roman"/>
          <w:sz w:val="28"/>
          <w:szCs w:val="28"/>
        </w:rPr>
        <w:t xml:space="preserve">one of the revolutionary new legal instruments agreed on the EU level in that pre-Lisbon era was the 2002/584/JHA </w:t>
      </w:r>
      <w:r w:rsidR="00AF3892" w:rsidRPr="009C697D">
        <w:rPr>
          <w:rFonts w:ascii="Times New Roman" w:hAnsi="Times New Roman" w:cs="Times New Roman"/>
          <w:sz w:val="28"/>
          <w:szCs w:val="28"/>
        </w:rPr>
        <w:t>[</w:t>
      </w:r>
      <w:r w:rsidR="00E55052" w:rsidRPr="009C697D">
        <w:rPr>
          <w:rFonts w:ascii="Times New Roman" w:hAnsi="Times New Roman" w:cs="Times New Roman"/>
          <w:sz w:val="28"/>
          <w:szCs w:val="28"/>
        </w:rPr>
        <w:t>4</w:t>
      </w:r>
      <w:r w:rsidR="00AF3892" w:rsidRPr="009C697D">
        <w:rPr>
          <w:rFonts w:ascii="Times New Roman" w:hAnsi="Times New Roman" w:cs="Times New Roman"/>
          <w:sz w:val="28"/>
          <w:szCs w:val="28"/>
        </w:rPr>
        <w:t xml:space="preserve">.] </w:t>
      </w:r>
      <w:r w:rsidRPr="009C697D">
        <w:rPr>
          <w:rFonts w:ascii="Times New Roman" w:hAnsi="Times New Roman" w:cs="Times New Roman"/>
          <w:sz w:val="28"/>
          <w:szCs w:val="28"/>
        </w:rPr>
        <w:t>Council Framework Decision on the European arrest warrant and the surrender procedures between Member States (hereinafter: FD EAW) [</w:t>
      </w:r>
      <w:r w:rsidR="00E55052" w:rsidRPr="009C697D">
        <w:rPr>
          <w:rFonts w:ascii="Times New Roman" w:hAnsi="Times New Roman" w:cs="Times New Roman"/>
          <w:sz w:val="28"/>
          <w:szCs w:val="28"/>
        </w:rPr>
        <w:t>5</w:t>
      </w:r>
      <w:r w:rsidR="00AF3892" w:rsidRPr="009C697D">
        <w:rPr>
          <w:rFonts w:ascii="Times New Roman" w:hAnsi="Times New Roman" w:cs="Times New Roman"/>
          <w:sz w:val="28"/>
          <w:szCs w:val="28"/>
        </w:rPr>
        <w:t>. P</w:t>
      </w:r>
      <w:r w:rsidRPr="009C697D">
        <w:rPr>
          <w:rFonts w:ascii="Times New Roman" w:hAnsi="Times New Roman" w:cs="Times New Roman"/>
          <w:sz w:val="28"/>
          <w:szCs w:val="28"/>
        </w:rPr>
        <w:t xml:space="preserve">. 23]. The FD EAW was </w:t>
      </w:r>
      <w:r w:rsidRPr="009C697D">
        <w:rPr>
          <w:rFonts w:ascii="Times New Roman" w:hAnsi="Times New Roman" w:cs="Times New Roman"/>
          <w:sz w:val="28"/>
          <w:szCs w:val="28"/>
          <w:lang w:val="en-US"/>
        </w:rPr>
        <w:t>the first concrete measure in the field of criminal law implementing the principle of mutual recognition</w:t>
      </w:r>
      <w:r w:rsidR="00F44F5B" w:rsidRPr="009C697D">
        <w:rPr>
          <w:rFonts w:ascii="Times New Roman" w:hAnsi="Times New Roman" w:cs="Times New Roman"/>
          <w:sz w:val="28"/>
          <w:szCs w:val="28"/>
          <w:lang w:val="en-US"/>
        </w:rPr>
        <w:t xml:space="preserve"> [</w:t>
      </w:r>
      <w:r w:rsidR="00E55052" w:rsidRPr="009C697D">
        <w:rPr>
          <w:rFonts w:ascii="Times New Roman" w:hAnsi="Times New Roman" w:cs="Times New Roman"/>
          <w:sz w:val="28"/>
          <w:szCs w:val="28"/>
          <w:lang w:val="en-US"/>
        </w:rPr>
        <w:t>13</w:t>
      </w:r>
      <w:r w:rsidR="00650272" w:rsidRPr="009C697D">
        <w:rPr>
          <w:rFonts w:ascii="Times New Roman" w:hAnsi="Times New Roman" w:cs="Times New Roman"/>
          <w:sz w:val="28"/>
          <w:szCs w:val="28"/>
          <w:lang w:val="en-US"/>
        </w:rPr>
        <w:t>. P</w:t>
      </w:r>
      <w:r w:rsidR="00F44F5B" w:rsidRPr="009C697D">
        <w:rPr>
          <w:rFonts w:ascii="Times New Roman" w:hAnsi="Times New Roman" w:cs="Times New Roman"/>
          <w:sz w:val="28"/>
          <w:szCs w:val="28"/>
        </w:rPr>
        <w:t xml:space="preserve">. 172; </w:t>
      </w:r>
      <w:r w:rsidR="00E55052" w:rsidRPr="009C697D">
        <w:rPr>
          <w:rFonts w:ascii="Times New Roman" w:hAnsi="Times New Roman" w:cs="Times New Roman"/>
          <w:sz w:val="28"/>
          <w:szCs w:val="28"/>
        </w:rPr>
        <w:t>4</w:t>
      </w:r>
      <w:r w:rsidR="00650272" w:rsidRPr="009C697D">
        <w:rPr>
          <w:rFonts w:ascii="Times New Roman" w:hAnsi="Times New Roman" w:cs="Times New Roman"/>
          <w:sz w:val="28"/>
          <w:szCs w:val="28"/>
        </w:rPr>
        <w:t>.</w:t>
      </w:r>
      <w:r w:rsidR="00F44F5B" w:rsidRPr="009C697D">
        <w:rPr>
          <w:rFonts w:ascii="Times New Roman" w:hAnsi="Times New Roman" w:cs="Times New Roman"/>
          <w:sz w:val="28"/>
          <w:szCs w:val="28"/>
        </w:rPr>
        <w:t xml:space="preserve"> point 6]</w:t>
      </w:r>
      <w:r w:rsidRPr="009C697D">
        <w:rPr>
          <w:rFonts w:ascii="Times New Roman" w:hAnsi="Times New Roman" w:cs="Times New Roman"/>
          <w:sz w:val="28"/>
          <w:szCs w:val="28"/>
          <w:lang w:val="en-US"/>
        </w:rPr>
        <w:t xml:space="preserve">. </w:t>
      </w:r>
      <w:r w:rsidR="00F44F5B" w:rsidRPr="009C697D">
        <w:rPr>
          <w:rFonts w:ascii="Times New Roman" w:hAnsi="Times New Roman" w:cs="Times New Roman"/>
          <w:sz w:val="28"/>
          <w:szCs w:val="28"/>
        </w:rPr>
        <w:t>Mutual trust and mutual recognition are the fundamental principles of the entire area of freedom, security and</w:t>
      </w:r>
      <w:r w:rsidR="00773815" w:rsidRPr="009C697D">
        <w:rPr>
          <w:rFonts w:ascii="Times New Roman" w:hAnsi="Times New Roman" w:cs="Times New Roman"/>
          <w:sz w:val="28"/>
          <w:szCs w:val="28"/>
        </w:rPr>
        <w:t xml:space="preserve"> justice of the European Union </w:t>
      </w:r>
      <w:r w:rsidR="00F44F5B" w:rsidRPr="009C697D">
        <w:rPr>
          <w:rFonts w:ascii="Times New Roman" w:hAnsi="Times New Roman" w:cs="Times New Roman"/>
          <w:sz w:val="28"/>
          <w:szCs w:val="28"/>
        </w:rPr>
        <w:t>[</w:t>
      </w:r>
      <w:r w:rsidR="00E55052" w:rsidRPr="009C697D">
        <w:rPr>
          <w:rFonts w:ascii="Times New Roman" w:hAnsi="Times New Roman" w:cs="Times New Roman"/>
          <w:sz w:val="28"/>
          <w:szCs w:val="28"/>
        </w:rPr>
        <w:t>10</w:t>
      </w:r>
      <w:r w:rsidR="00773815" w:rsidRPr="009C697D">
        <w:rPr>
          <w:rFonts w:ascii="Times New Roman" w:hAnsi="Times New Roman" w:cs="Times New Roman"/>
          <w:sz w:val="28"/>
          <w:szCs w:val="28"/>
        </w:rPr>
        <w:t>. P</w:t>
      </w:r>
      <w:r w:rsidR="00F44F5B" w:rsidRPr="009C697D">
        <w:rPr>
          <w:rFonts w:ascii="Times New Roman" w:hAnsi="Times New Roman" w:cs="Times New Roman"/>
          <w:sz w:val="28"/>
          <w:szCs w:val="28"/>
        </w:rPr>
        <w:t xml:space="preserve">. 167]. </w:t>
      </w:r>
      <w:r w:rsidRPr="009C697D">
        <w:rPr>
          <w:rFonts w:ascii="Times New Roman" w:hAnsi="Times New Roman" w:cs="Times New Roman"/>
          <w:sz w:val="28"/>
          <w:szCs w:val="28"/>
        </w:rPr>
        <w:t>The FD EAW is still in force at this date</w:t>
      </w:r>
      <w:r w:rsidR="00970581" w:rsidRPr="009C697D">
        <w:rPr>
          <w:rFonts w:ascii="Times New Roman" w:hAnsi="Times New Roman" w:cs="Times New Roman"/>
          <w:sz w:val="28"/>
          <w:szCs w:val="28"/>
        </w:rPr>
        <w:t>, and will serve as a FD example throughout this paper.</w:t>
      </w:r>
    </w:p>
    <w:p w14:paraId="0B9F1432" w14:textId="70B2199A" w:rsidR="00BE0D4D" w:rsidRPr="009C697D" w:rsidRDefault="00BE0D4D" w:rsidP="003F2CDD">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 xml:space="preserve">Article 1(1) of the FD EAW defines the European Arrest Warrant (hereinafter: EAW) </w:t>
      </w:r>
      <w:r w:rsidRPr="009C697D">
        <w:rPr>
          <w:rFonts w:ascii="Times New Roman" w:hAnsi="Times New Roman" w:cs="Times New Roman"/>
          <w:i/>
          <w:sz w:val="28"/>
          <w:szCs w:val="28"/>
        </w:rPr>
        <w:t xml:space="preserve">as a judicial decision issued by a Member State with a view to the arrest and surrender by another Member State of a requested person, for the purposes of </w:t>
      </w:r>
      <w:r w:rsidRPr="009C697D">
        <w:rPr>
          <w:rFonts w:ascii="Times New Roman" w:hAnsi="Times New Roman" w:cs="Times New Roman"/>
          <w:i/>
          <w:sz w:val="28"/>
          <w:szCs w:val="28"/>
        </w:rPr>
        <w:lastRenderedPageBreak/>
        <w:t>conducting a criminal prosecution or executing a custodial sentence or detention order</w:t>
      </w:r>
      <w:r w:rsidR="00773815" w:rsidRPr="009C697D">
        <w:rPr>
          <w:rFonts w:ascii="Times New Roman" w:hAnsi="Times New Roman" w:cs="Times New Roman"/>
          <w:sz w:val="28"/>
          <w:szCs w:val="28"/>
        </w:rPr>
        <w:t>. Moreover</w:t>
      </w:r>
      <w:r w:rsidRPr="009C697D">
        <w:rPr>
          <w:rFonts w:ascii="Times New Roman" w:hAnsi="Times New Roman" w:cs="Times New Roman"/>
          <w:sz w:val="28"/>
          <w:szCs w:val="28"/>
        </w:rPr>
        <w:t xml:space="preserve">, </w:t>
      </w:r>
      <w:r w:rsidR="00591447" w:rsidRPr="009C697D">
        <w:rPr>
          <w:rFonts w:ascii="Times New Roman" w:hAnsi="Times New Roman" w:cs="Times New Roman"/>
          <w:sz w:val="28"/>
          <w:szCs w:val="28"/>
        </w:rPr>
        <w:t>A</w:t>
      </w:r>
      <w:r w:rsidRPr="009C697D">
        <w:rPr>
          <w:rFonts w:ascii="Times New Roman" w:hAnsi="Times New Roman" w:cs="Times New Roman"/>
          <w:sz w:val="28"/>
          <w:szCs w:val="28"/>
        </w:rPr>
        <w:t>rticle 1(2) of the FD EAW obliges the Member States to execute any EAW on the basis of the principle of mutual recognit</w:t>
      </w:r>
      <w:r w:rsidR="00773815" w:rsidRPr="009C697D">
        <w:rPr>
          <w:rFonts w:ascii="Times New Roman" w:hAnsi="Times New Roman" w:cs="Times New Roman"/>
          <w:sz w:val="28"/>
          <w:szCs w:val="28"/>
        </w:rPr>
        <w:t xml:space="preserve">ion and in accordance with the </w:t>
      </w:r>
      <w:r w:rsidR="000D2531" w:rsidRPr="009C697D">
        <w:rPr>
          <w:rFonts w:ascii="Times New Roman" w:hAnsi="Times New Roman" w:cs="Times New Roman"/>
          <w:sz w:val="28"/>
          <w:szCs w:val="28"/>
        </w:rPr>
        <w:t>FD EAW</w:t>
      </w:r>
      <w:r w:rsidR="00773815" w:rsidRPr="009C697D">
        <w:rPr>
          <w:rFonts w:ascii="Times New Roman" w:hAnsi="Times New Roman" w:cs="Times New Roman"/>
          <w:sz w:val="28"/>
          <w:szCs w:val="28"/>
        </w:rPr>
        <w:t xml:space="preserve"> provisions</w:t>
      </w:r>
      <w:r w:rsidR="00650272" w:rsidRPr="009C697D">
        <w:rPr>
          <w:rFonts w:ascii="Times New Roman" w:hAnsi="Times New Roman" w:cs="Times New Roman"/>
          <w:sz w:val="28"/>
          <w:szCs w:val="28"/>
        </w:rPr>
        <w:t xml:space="preserve"> [</w:t>
      </w:r>
      <w:r w:rsidR="00E55052" w:rsidRPr="009C697D">
        <w:rPr>
          <w:rFonts w:ascii="Times New Roman" w:hAnsi="Times New Roman" w:cs="Times New Roman"/>
          <w:sz w:val="28"/>
          <w:szCs w:val="28"/>
        </w:rPr>
        <w:t>12</w:t>
      </w:r>
      <w:r w:rsidR="00864B7A" w:rsidRPr="009C697D">
        <w:rPr>
          <w:rFonts w:ascii="Times New Roman" w:hAnsi="Times New Roman" w:cs="Times New Roman"/>
          <w:sz w:val="28"/>
          <w:szCs w:val="28"/>
        </w:rPr>
        <w:t>. P. 1319-1320]</w:t>
      </w:r>
      <w:r w:rsidRPr="009C697D">
        <w:rPr>
          <w:rFonts w:ascii="Times New Roman" w:hAnsi="Times New Roman" w:cs="Times New Roman"/>
          <w:sz w:val="28"/>
          <w:szCs w:val="28"/>
        </w:rPr>
        <w:t>.</w:t>
      </w:r>
    </w:p>
    <w:p w14:paraId="70D66933" w14:textId="3E9501A2" w:rsidR="000D2531" w:rsidRPr="009C697D" w:rsidRDefault="000D2531" w:rsidP="003F2CDD">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Nonetheless, due to the special legal nature of</w:t>
      </w:r>
      <w:r w:rsidR="00970581" w:rsidRPr="009C697D">
        <w:rPr>
          <w:rFonts w:ascii="Times New Roman" w:hAnsi="Times New Roman" w:cs="Times New Roman"/>
          <w:sz w:val="28"/>
          <w:szCs w:val="28"/>
        </w:rPr>
        <w:t xml:space="preserve"> FDs</w:t>
      </w:r>
      <w:r w:rsidRPr="009C697D">
        <w:rPr>
          <w:rFonts w:ascii="Times New Roman" w:hAnsi="Times New Roman" w:cs="Times New Roman"/>
          <w:sz w:val="28"/>
          <w:szCs w:val="28"/>
        </w:rPr>
        <w:t xml:space="preserve">, there are certain </w:t>
      </w:r>
      <w:r w:rsidR="00CC3946" w:rsidRPr="009C697D">
        <w:rPr>
          <w:rFonts w:ascii="Times New Roman" w:hAnsi="Times New Roman" w:cs="Times New Roman"/>
          <w:sz w:val="28"/>
          <w:szCs w:val="28"/>
        </w:rPr>
        <w:t>hurdles for a smooth application of the mutual recognition principle</w:t>
      </w:r>
      <w:r w:rsidR="00970581" w:rsidRPr="009C697D">
        <w:rPr>
          <w:rFonts w:ascii="Times New Roman" w:hAnsi="Times New Roman" w:cs="Times New Roman"/>
          <w:sz w:val="28"/>
          <w:szCs w:val="28"/>
        </w:rPr>
        <w:t xml:space="preserve"> in case of FD EAW</w:t>
      </w:r>
      <w:r w:rsidRPr="009C697D">
        <w:rPr>
          <w:rFonts w:ascii="Times New Roman" w:hAnsi="Times New Roman" w:cs="Times New Roman"/>
          <w:sz w:val="28"/>
          <w:szCs w:val="28"/>
        </w:rPr>
        <w:t xml:space="preserve">. </w:t>
      </w:r>
    </w:p>
    <w:p w14:paraId="6C8EBBB7" w14:textId="77777777" w:rsidR="005E7D8E" w:rsidRPr="009C697D" w:rsidRDefault="005E7D8E" w:rsidP="005E7D8E">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 xml:space="preserve">Firstly, unlike EU regulations, </w:t>
      </w:r>
      <w:r w:rsidR="00970581" w:rsidRPr="009C697D">
        <w:rPr>
          <w:rFonts w:ascii="Times New Roman" w:hAnsi="Times New Roman" w:cs="Times New Roman"/>
          <w:sz w:val="28"/>
          <w:szCs w:val="28"/>
        </w:rPr>
        <w:t>FDs</w:t>
      </w:r>
      <w:r w:rsidRPr="009C697D">
        <w:rPr>
          <w:rFonts w:ascii="Times New Roman" w:hAnsi="Times New Roman" w:cs="Times New Roman"/>
          <w:sz w:val="28"/>
          <w:szCs w:val="28"/>
        </w:rPr>
        <w:t xml:space="preserve"> are not directly applicable. They need to be implemented into national law in order to be applicable on the national level [</w:t>
      </w:r>
      <w:r w:rsidR="00E55052" w:rsidRPr="009C697D">
        <w:rPr>
          <w:rFonts w:ascii="Times New Roman" w:hAnsi="Times New Roman" w:cs="Times New Roman"/>
          <w:sz w:val="28"/>
          <w:szCs w:val="28"/>
        </w:rPr>
        <w:t>9</w:t>
      </w:r>
      <w:r w:rsidRPr="009C697D">
        <w:rPr>
          <w:rFonts w:ascii="Times New Roman" w:hAnsi="Times New Roman" w:cs="Times New Roman"/>
          <w:sz w:val="28"/>
          <w:szCs w:val="28"/>
        </w:rPr>
        <w:t>. P. 256]. However, improper implementation is often very problematic, and thus mutual recognition legal instruments lose their full effect, since the principle of mutual recognition requires a reciprocal implementation [</w:t>
      </w:r>
      <w:r w:rsidR="00E55052" w:rsidRPr="009C697D">
        <w:rPr>
          <w:rFonts w:ascii="Times New Roman" w:hAnsi="Times New Roman" w:cs="Times New Roman"/>
          <w:sz w:val="28"/>
          <w:szCs w:val="28"/>
        </w:rPr>
        <w:t>7</w:t>
      </w:r>
      <w:r w:rsidRPr="009C697D">
        <w:rPr>
          <w:rFonts w:ascii="Times New Roman" w:hAnsi="Times New Roman" w:cs="Times New Roman"/>
          <w:sz w:val="28"/>
          <w:szCs w:val="28"/>
        </w:rPr>
        <w:t>. P. 30-31].</w:t>
      </w:r>
    </w:p>
    <w:p w14:paraId="3AC454CA" w14:textId="77777777" w:rsidR="00EC238A" w:rsidRPr="009C697D" w:rsidRDefault="005E7D8E" w:rsidP="003F2CDD">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In addition</w:t>
      </w:r>
      <w:r w:rsidR="00EC238A" w:rsidRPr="009C697D">
        <w:rPr>
          <w:rFonts w:ascii="Times New Roman" w:hAnsi="Times New Roman" w:cs="Times New Roman"/>
          <w:sz w:val="28"/>
          <w:szCs w:val="28"/>
        </w:rPr>
        <w:t xml:space="preserve">, </w:t>
      </w:r>
      <w:r w:rsidR="00970581" w:rsidRPr="009C697D">
        <w:rPr>
          <w:rFonts w:ascii="Times New Roman" w:hAnsi="Times New Roman" w:cs="Times New Roman"/>
          <w:sz w:val="28"/>
          <w:szCs w:val="28"/>
        </w:rPr>
        <w:t>FDs</w:t>
      </w:r>
      <w:r w:rsidR="00EC238A" w:rsidRPr="009C697D">
        <w:rPr>
          <w:rFonts w:ascii="Times New Roman" w:hAnsi="Times New Roman" w:cs="Times New Roman"/>
          <w:sz w:val="28"/>
          <w:szCs w:val="28"/>
        </w:rPr>
        <w:t xml:space="preserve"> do not have direct effect. The TEU (before the Lisbon treaty)</w:t>
      </w:r>
      <w:r w:rsidR="00E55052" w:rsidRPr="009C697D">
        <w:rPr>
          <w:rFonts w:ascii="Times New Roman" w:hAnsi="Times New Roman" w:cs="Times New Roman"/>
          <w:sz w:val="28"/>
          <w:szCs w:val="28"/>
        </w:rPr>
        <w:t xml:space="preserve"> [14</w:t>
      </w:r>
      <w:r w:rsidR="00864B7A" w:rsidRPr="009C697D">
        <w:rPr>
          <w:rFonts w:ascii="Times New Roman" w:hAnsi="Times New Roman" w:cs="Times New Roman"/>
          <w:sz w:val="28"/>
          <w:szCs w:val="28"/>
        </w:rPr>
        <w:t>.]</w:t>
      </w:r>
      <w:r w:rsidR="00EC238A" w:rsidRPr="009C697D">
        <w:rPr>
          <w:rFonts w:ascii="Times New Roman" w:hAnsi="Times New Roman" w:cs="Times New Roman"/>
          <w:sz w:val="28"/>
          <w:szCs w:val="28"/>
        </w:rPr>
        <w:t xml:space="preserve"> provided the legal basis to adopt</w:t>
      </w:r>
      <w:r w:rsidR="00970581" w:rsidRPr="009C697D">
        <w:rPr>
          <w:rFonts w:ascii="Times New Roman" w:hAnsi="Times New Roman" w:cs="Times New Roman"/>
          <w:sz w:val="28"/>
          <w:szCs w:val="28"/>
        </w:rPr>
        <w:t xml:space="preserve"> FDs</w:t>
      </w:r>
      <w:r w:rsidR="00EC238A" w:rsidRPr="009C697D">
        <w:rPr>
          <w:rFonts w:ascii="Times New Roman" w:hAnsi="Times New Roman" w:cs="Times New Roman"/>
          <w:sz w:val="28"/>
          <w:szCs w:val="28"/>
        </w:rPr>
        <w:t>. Article 34(2)(b)</w:t>
      </w:r>
      <w:r w:rsidR="00CC3946" w:rsidRPr="009C697D">
        <w:rPr>
          <w:rFonts w:ascii="Times New Roman" w:hAnsi="Times New Roman" w:cs="Times New Roman"/>
          <w:sz w:val="28"/>
          <w:szCs w:val="28"/>
        </w:rPr>
        <w:t xml:space="preserve"> TEU </w:t>
      </w:r>
      <w:r w:rsidR="00EC238A" w:rsidRPr="009C697D">
        <w:rPr>
          <w:rFonts w:ascii="Times New Roman" w:hAnsi="Times New Roman" w:cs="Times New Roman"/>
          <w:sz w:val="28"/>
          <w:szCs w:val="28"/>
        </w:rPr>
        <w:t xml:space="preserve">stipulated that a </w:t>
      </w:r>
      <w:r w:rsidR="00970581" w:rsidRPr="009C697D">
        <w:rPr>
          <w:rFonts w:ascii="Times New Roman" w:hAnsi="Times New Roman" w:cs="Times New Roman"/>
          <w:sz w:val="28"/>
          <w:szCs w:val="28"/>
        </w:rPr>
        <w:t xml:space="preserve">FD </w:t>
      </w:r>
      <w:r w:rsidR="00EC238A" w:rsidRPr="009C697D">
        <w:rPr>
          <w:rFonts w:ascii="Times New Roman" w:hAnsi="Times New Roman" w:cs="Times New Roman"/>
          <w:sz w:val="28"/>
          <w:szCs w:val="28"/>
        </w:rPr>
        <w:t xml:space="preserve">shall be binding upon the Member States as to the result to be achieved. Yet, in the same paragraph it is explicitly stated that the Framework decisions shall not entail direct effect. This is also </w:t>
      </w:r>
      <w:r w:rsidR="00F25476" w:rsidRPr="009C697D">
        <w:rPr>
          <w:rFonts w:ascii="Times New Roman" w:hAnsi="Times New Roman" w:cs="Times New Roman"/>
          <w:sz w:val="28"/>
          <w:szCs w:val="28"/>
        </w:rPr>
        <w:t xml:space="preserve">an important </w:t>
      </w:r>
      <w:r w:rsidR="00EC238A" w:rsidRPr="009C697D">
        <w:rPr>
          <w:rFonts w:ascii="Times New Roman" w:hAnsi="Times New Roman" w:cs="Times New Roman"/>
          <w:sz w:val="28"/>
          <w:szCs w:val="28"/>
        </w:rPr>
        <w:t xml:space="preserve">difference between </w:t>
      </w:r>
      <w:r w:rsidR="00970581" w:rsidRPr="009C697D">
        <w:rPr>
          <w:rFonts w:ascii="Times New Roman" w:hAnsi="Times New Roman" w:cs="Times New Roman"/>
          <w:sz w:val="28"/>
          <w:szCs w:val="28"/>
        </w:rPr>
        <w:t xml:space="preserve">FDs </w:t>
      </w:r>
      <w:r w:rsidR="00EC238A" w:rsidRPr="009C697D">
        <w:rPr>
          <w:rFonts w:ascii="Times New Roman" w:hAnsi="Times New Roman" w:cs="Times New Roman"/>
          <w:sz w:val="28"/>
          <w:szCs w:val="28"/>
        </w:rPr>
        <w:t xml:space="preserve">and directives, which can in certain </w:t>
      </w:r>
      <w:r w:rsidR="00CC3946" w:rsidRPr="009C697D">
        <w:rPr>
          <w:rFonts w:ascii="Times New Roman" w:hAnsi="Times New Roman" w:cs="Times New Roman"/>
          <w:sz w:val="28"/>
          <w:szCs w:val="28"/>
        </w:rPr>
        <w:t>circumstances,</w:t>
      </w:r>
      <w:r w:rsidR="00EC238A" w:rsidRPr="009C697D">
        <w:rPr>
          <w:rFonts w:ascii="Times New Roman" w:hAnsi="Times New Roman" w:cs="Times New Roman"/>
          <w:sz w:val="28"/>
          <w:szCs w:val="28"/>
        </w:rPr>
        <w:t xml:space="preserve"> entail direct effect</w:t>
      </w:r>
      <w:r w:rsidR="00CC3946" w:rsidRPr="009C697D">
        <w:rPr>
          <w:rFonts w:ascii="Times New Roman" w:hAnsi="Times New Roman" w:cs="Times New Roman"/>
          <w:sz w:val="28"/>
          <w:szCs w:val="28"/>
        </w:rPr>
        <w:t xml:space="preserve"> [</w:t>
      </w:r>
      <w:r w:rsidR="00E55052" w:rsidRPr="009C697D">
        <w:rPr>
          <w:rFonts w:ascii="Times New Roman" w:hAnsi="Times New Roman" w:cs="Times New Roman"/>
          <w:sz w:val="28"/>
          <w:szCs w:val="28"/>
        </w:rPr>
        <w:t>8</w:t>
      </w:r>
      <w:r w:rsidR="004E1909" w:rsidRPr="009C697D">
        <w:rPr>
          <w:rFonts w:ascii="Times New Roman" w:hAnsi="Times New Roman" w:cs="Times New Roman"/>
          <w:sz w:val="28"/>
          <w:szCs w:val="28"/>
        </w:rPr>
        <w:t>. P</w:t>
      </w:r>
      <w:r w:rsidR="00EC238A" w:rsidRPr="009C697D">
        <w:rPr>
          <w:rFonts w:ascii="Times New Roman" w:hAnsi="Times New Roman" w:cs="Times New Roman"/>
          <w:sz w:val="28"/>
          <w:szCs w:val="28"/>
        </w:rPr>
        <w:t xml:space="preserve">. </w:t>
      </w:r>
      <w:r w:rsidR="00CC3946" w:rsidRPr="009C697D">
        <w:rPr>
          <w:rFonts w:ascii="Times New Roman" w:hAnsi="Times New Roman" w:cs="Times New Roman"/>
          <w:sz w:val="28"/>
          <w:szCs w:val="28"/>
        </w:rPr>
        <w:t>583]</w:t>
      </w:r>
      <w:r w:rsidR="00EC238A" w:rsidRPr="009C697D">
        <w:rPr>
          <w:rFonts w:ascii="Times New Roman" w:hAnsi="Times New Roman" w:cs="Times New Roman"/>
          <w:sz w:val="28"/>
          <w:szCs w:val="28"/>
        </w:rPr>
        <w:t>.</w:t>
      </w:r>
    </w:p>
    <w:p w14:paraId="18F5A639" w14:textId="77777777" w:rsidR="00650148" w:rsidRPr="009C697D" w:rsidRDefault="00EC238A" w:rsidP="00650148">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 xml:space="preserve">However, despite those deficiencies in legal </w:t>
      </w:r>
      <w:r w:rsidR="000D1008" w:rsidRPr="009C697D">
        <w:rPr>
          <w:rFonts w:ascii="Times New Roman" w:hAnsi="Times New Roman" w:cs="Times New Roman"/>
          <w:sz w:val="28"/>
          <w:szCs w:val="28"/>
        </w:rPr>
        <w:t>effects of</w:t>
      </w:r>
      <w:r w:rsidR="00970581" w:rsidRPr="009C697D">
        <w:rPr>
          <w:rFonts w:ascii="Times New Roman" w:hAnsi="Times New Roman" w:cs="Times New Roman"/>
          <w:sz w:val="28"/>
          <w:szCs w:val="28"/>
        </w:rPr>
        <w:t xml:space="preserve"> FDs</w:t>
      </w:r>
      <w:r w:rsidRPr="009C697D">
        <w:rPr>
          <w:rFonts w:ascii="Times New Roman" w:hAnsi="Times New Roman" w:cs="Times New Roman"/>
          <w:sz w:val="28"/>
          <w:szCs w:val="28"/>
        </w:rPr>
        <w:t>, the</w:t>
      </w:r>
      <w:r w:rsidR="000D1008" w:rsidRPr="009C697D">
        <w:rPr>
          <w:rFonts w:ascii="Times New Roman" w:hAnsi="Times New Roman" w:cs="Times New Roman"/>
          <w:sz w:val="28"/>
          <w:szCs w:val="28"/>
        </w:rPr>
        <w:t xml:space="preserve"> latter entail an indirect effect</w:t>
      </w:r>
      <w:r w:rsidR="00650148" w:rsidRPr="009C697D">
        <w:rPr>
          <w:rFonts w:ascii="Times New Roman" w:hAnsi="Times New Roman" w:cs="Times New Roman"/>
          <w:sz w:val="28"/>
          <w:szCs w:val="28"/>
        </w:rPr>
        <w:t>.</w:t>
      </w:r>
      <w:r w:rsidR="000D1008" w:rsidRPr="009C697D">
        <w:rPr>
          <w:rFonts w:ascii="Times New Roman" w:hAnsi="Times New Roman" w:cs="Times New Roman"/>
          <w:sz w:val="28"/>
          <w:szCs w:val="28"/>
        </w:rPr>
        <w:t xml:space="preserve"> </w:t>
      </w:r>
      <w:r w:rsidRPr="009C697D">
        <w:rPr>
          <w:rFonts w:ascii="Times New Roman" w:hAnsi="Times New Roman" w:cs="Times New Roman"/>
          <w:sz w:val="28"/>
          <w:szCs w:val="28"/>
        </w:rPr>
        <w:t>C</w:t>
      </w:r>
      <w:r w:rsidR="000D1008" w:rsidRPr="009C697D">
        <w:rPr>
          <w:rFonts w:ascii="Times New Roman" w:hAnsi="Times New Roman" w:cs="Times New Roman"/>
          <w:sz w:val="28"/>
          <w:szCs w:val="28"/>
        </w:rPr>
        <w:t xml:space="preserve">ourt of Justice of the </w:t>
      </w:r>
      <w:r w:rsidRPr="009C697D">
        <w:rPr>
          <w:rFonts w:ascii="Times New Roman" w:hAnsi="Times New Roman" w:cs="Times New Roman"/>
          <w:sz w:val="28"/>
          <w:szCs w:val="28"/>
        </w:rPr>
        <w:t>EU</w:t>
      </w:r>
      <w:r w:rsidR="000D1008" w:rsidRPr="009C697D">
        <w:rPr>
          <w:rFonts w:ascii="Times New Roman" w:hAnsi="Times New Roman" w:cs="Times New Roman"/>
          <w:sz w:val="28"/>
          <w:szCs w:val="28"/>
        </w:rPr>
        <w:t xml:space="preserve"> (hereinafter: CJEU)</w:t>
      </w:r>
      <w:r w:rsidRPr="009C697D">
        <w:rPr>
          <w:rFonts w:ascii="Times New Roman" w:hAnsi="Times New Roman" w:cs="Times New Roman"/>
          <w:sz w:val="28"/>
          <w:szCs w:val="28"/>
        </w:rPr>
        <w:t xml:space="preserve"> </w:t>
      </w:r>
      <w:r w:rsidR="000D1008" w:rsidRPr="009C697D">
        <w:rPr>
          <w:rFonts w:ascii="Times New Roman" w:hAnsi="Times New Roman" w:cs="Times New Roman"/>
          <w:sz w:val="28"/>
          <w:szCs w:val="28"/>
        </w:rPr>
        <w:t xml:space="preserve">ruled in case </w:t>
      </w:r>
      <w:proofErr w:type="spellStart"/>
      <w:r w:rsidRPr="009C697D">
        <w:rPr>
          <w:rFonts w:ascii="Times New Roman" w:hAnsi="Times New Roman" w:cs="Times New Roman"/>
          <w:i/>
          <w:sz w:val="28"/>
          <w:szCs w:val="28"/>
        </w:rPr>
        <w:t>Pupino</w:t>
      </w:r>
      <w:proofErr w:type="spellEnd"/>
      <w:r w:rsidR="000D1008" w:rsidRPr="009C697D">
        <w:rPr>
          <w:rFonts w:ascii="Times New Roman" w:hAnsi="Times New Roman" w:cs="Times New Roman"/>
          <w:i/>
          <w:sz w:val="28"/>
          <w:szCs w:val="28"/>
        </w:rPr>
        <w:t xml:space="preserve"> </w:t>
      </w:r>
      <w:r w:rsidR="000D1008" w:rsidRPr="009C697D">
        <w:rPr>
          <w:rFonts w:ascii="Times New Roman" w:hAnsi="Times New Roman" w:cs="Times New Roman"/>
          <w:sz w:val="28"/>
          <w:szCs w:val="28"/>
        </w:rPr>
        <w:t>[11. P. 4]</w:t>
      </w:r>
      <w:r w:rsidRPr="009C697D">
        <w:rPr>
          <w:rFonts w:ascii="Times New Roman" w:hAnsi="Times New Roman" w:cs="Times New Roman"/>
          <w:sz w:val="28"/>
          <w:szCs w:val="28"/>
        </w:rPr>
        <w:t xml:space="preserve"> </w:t>
      </w:r>
      <w:r w:rsidR="00C36C1E" w:rsidRPr="009C697D">
        <w:rPr>
          <w:rFonts w:ascii="Times New Roman" w:hAnsi="Times New Roman" w:cs="Times New Roman"/>
          <w:sz w:val="28"/>
          <w:szCs w:val="28"/>
        </w:rPr>
        <w:t>that “</w:t>
      </w:r>
      <w:r w:rsidR="00C36C1E" w:rsidRPr="009C697D">
        <w:rPr>
          <w:rFonts w:ascii="Times New Roman" w:hAnsi="Times New Roman" w:cs="Times New Roman"/>
          <w:i/>
          <w:sz w:val="28"/>
          <w:szCs w:val="28"/>
        </w:rPr>
        <w:t>The national court is required to take into consideration all the rules of national law and to interpret them, so far as possible, in the light of the wording and purpose of the Framework Decision</w:t>
      </w:r>
      <w:r w:rsidR="000D1008" w:rsidRPr="009C697D">
        <w:rPr>
          <w:rFonts w:ascii="Times New Roman" w:hAnsi="Times New Roman" w:cs="Times New Roman"/>
          <w:sz w:val="28"/>
          <w:szCs w:val="28"/>
        </w:rPr>
        <w:t xml:space="preserve">.” </w:t>
      </w:r>
      <w:r w:rsidR="00E55052" w:rsidRPr="009C697D">
        <w:rPr>
          <w:rFonts w:ascii="Times New Roman" w:hAnsi="Times New Roman" w:cs="Times New Roman"/>
          <w:sz w:val="28"/>
          <w:szCs w:val="28"/>
        </w:rPr>
        <w:t>[</w:t>
      </w:r>
      <w:r w:rsidR="000D1008" w:rsidRPr="009C697D">
        <w:rPr>
          <w:rFonts w:ascii="Times New Roman" w:hAnsi="Times New Roman" w:cs="Times New Roman"/>
          <w:sz w:val="28"/>
          <w:szCs w:val="28"/>
        </w:rPr>
        <w:t>2. Para. 61]</w:t>
      </w:r>
      <w:r w:rsidR="00C36C1E" w:rsidRPr="009C697D">
        <w:rPr>
          <w:rFonts w:ascii="Times New Roman" w:hAnsi="Times New Roman" w:cs="Times New Roman"/>
          <w:sz w:val="28"/>
          <w:szCs w:val="28"/>
        </w:rPr>
        <w:t xml:space="preserve">. Therefore, </w:t>
      </w:r>
      <w:r w:rsidR="000D2C71" w:rsidRPr="009C697D">
        <w:rPr>
          <w:rFonts w:ascii="Times New Roman" w:hAnsi="Times New Roman" w:cs="Times New Roman"/>
          <w:sz w:val="28"/>
          <w:szCs w:val="28"/>
        </w:rPr>
        <w:t>the Member Stat</w:t>
      </w:r>
      <w:r w:rsidR="00650148" w:rsidRPr="009C697D">
        <w:rPr>
          <w:rFonts w:ascii="Times New Roman" w:hAnsi="Times New Roman" w:cs="Times New Roman"/>
          <w:sz w:val="28"/>
          <w:szCs w:val="28"/>
        </w:rPr>
        <w:t>es have the duty to perform a conforming</w:t>
      </w:r>
      <w:r w:rsidR="000D2C71" w:rsidRPr="009C697D">
        <w:rPr>
          <w:rFonts w:ascii="Times New Roman" w:hAnsi="Times New Roman" w:cs="Times New Roman"/>
          <w:sz w:val="28"/>
          <w:szCs w:val="28"/>
        </w:rPr>
        <w:t xml:space="preserve"> interpretation</w:t>
      </w:r>
      <w:r w:rsidR="00650148" w:rsidRPr="009C697D">
        <w:rPr>
          <w:rFonts w:ascii="Times New Roman" w:hAnsi="Times New Roman" w:cs="Times New Roman"/>
          <w:sz w:val="28"/>
          <w:szCs w:val="28"/>
        </w:rPr>
        <w:t xml:space="preserve">. </w:t>
      </w:r>
      <w:r w:rsidR="000708A2" w:rsidRPr="009C697D">
        <w:rPr>
          <w:rFonts w:ascii="Times New Roman" w:hAnsi="Times New Roman" w:cs="Times New Roman"/>
          <w:sz w:val="28"/>
          <w:szCs w:val="28"/>
        </w:rPr>
        <w:t>Yet</w:t>
      </w:r>
      <w:r w:rsidR="00F903BB" w:rsidRPr="009C697D">
        <w:rPr>
          <w:rFonts w:ascii="Times New Roman" w:hAnsi="Times New Roman" w:cs="Times New Roman"/>
          <w:sz w:val="28"/>
          <w:szCs w:val="28"/>
        </w:rPr>
        <w:t>, the according to CJEU</w:t>
      </w:r>
      <w:r w:rsidR="00AA46AD" w:rsidRPr="009C697D">
        <w:rPr>
          <w:rFonts w:ascii="Times New Roman" w:hAnsi="Times New Roman" w:cs="Times New Roman"/>
          <w:sz w:val="28"/>
          <w:szCs w:val="28"/>
        </w:rPr>
        <w:t xml:space="preserve"> </w:t>
      </w:r>
      <w:r w:rsidR="00650148" w:rsidRPr="009C697D">
        <w:rPr>
          <w:rFonts w:ascii="Times New Roman" w:hAnsi="Times New Roman" w:cs="Times New Roman"/>
          <w:sz w:val="28"/>
          <w:szCs w:val="28"/>
        </w:rPr>
        <w:t xml:space="preserve">the </w:t>
      </w:r>
      <w:r w:rsidR="00AA46AD" w:rsidRPr="009C697D">
        <w:rPr>
          <w:rFonts w:ascii="Times New Roman" w:hAnsi="Times New Roman" w:cs="Times New Roman"/>
          <w:sz w:val="28"/>
          <w:szCs w:val="28"/>
        </w:rPr>
        <w:t xml:space="preserve">latter cannot lead to the interpretation of national law </w:t>
      </w:r>
      <w:r w:rsidR="00AA46AD" w:rsidRPr="009C697D">
        <w:rPr>
          <w:rFonts w:ascii="Times New Roman" w:hAnsi="Times New Roman" w:cs="Times New Roman"/>
          <w:i/>
          <w:sz w:val="28"/>
          <w:szCs w:val="28"/>
        </w:rPr>
        <w:t xml:space="preserve">contra </w:t>
      </w:r>
      <w:proofErr w:type="spellStart"/>
      <w:r w:rsidR="00AA46AD" w:rsidRPr="009C697D">
        <w:rPr>
          <w:rFonts w:ascii="Times New Roman" w:hAnsi="Times New Roman" w:cs="Times New Roman"/>
          <w:i/>
          <w:sz w:val="28"/>
          <w:szCs w:val="28"/>
        </w:rPr>
        <w:t>legem</w:t>
      </w:r>
      <w:proofErr w:type="spellEnd"/>
      <w:r w:rsidR="00650148" w:rsidRPr="009C697D">
        <w:rPr>
          <w:rFonts w:ascii="Times New Roman" w:hAnsi="Times New Roman" w:cs="Times New Roman"/>
          <w:i/>
          <w:sz w:val="28"/>
          <w:szCs w:val="28"/>
        </w:rPr>
        <w:t xml:space="preserve"> </w:t>
      </w:r>
      <w:r w:rsidR="00E55052" w:rsidRPr="009C697D">
        <w:rPr>
          <w:rFonts w:ascii="Times New Roman" w:hAnsi="Times New Roman" w:cs="Times New Roman"/>
          <w:sz w:val="28"/>
          <w:szCs w:val="28"/>
        </w:rPr>
        <w:t>[8</w:t>
      </w:r>
      <w:r w:rsidR="00650148" w:rsidRPr="009C697D">
        <w:rPr>
          <w:rFonts w:ascii="Times New Roman" w:hAnsi="Times New Roman" w:cs="Times New Roman"/>
          <w:sz w:val="28"/>
          <w:szCs w:val="28"/>
        </w:rPr>
        <w:t>. P. 585]</w:t>
      </w:r>
      <w:r w:rsidR="00AA46AD" w:rsidRPr="009C697D">
        <w:rPr>
          <w:rFonts w:ascii="Times New Roman" w:hAnsi="Times New Roman" w:cs="Times New Roman"/>
          <w:sz w:val="28"/>
          <w:szCs w:val="28"/>
        </w:rPr>
        <w:t xml:space="preserve">. </w:t>
      </w:r>
    </w:p>
    <w:p w14:paraId="22F68E35" w14:textId="77777777" w:rsidR="00650148" w:rsidRPr="009C697D" w:rsidRDefault="00704F9C" w:rsidP="00970581">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 xml:space="preserve">Consequently, it is important that the </w:t>
      </w:r>
      <w:r w:rsidR="00970581" w:rsidRPr="009C697D">
        <w:rPr>
          <w:rFonts w:ascii="Times New Roman" w:hAnsi="Times New Roman" w:cs="Times New Roman"/>
          <w:sz w:val="28"/>
          <w:szCs w:val="28"/>
        </w:rPr>
        <w:t>FDs</w:t>
      </w:r>
      <w:r w:rsidRPr="009C697D">
        <w:rPr>
          <w:rFonts w:ascii="Times New Roman" w:hAnsi="Times New Roman" w:cs="Times New Roman"/>
          <w:sz w:val="28"/>
          <w:szCs w:val="28"/>
        </w:rPr>
        <w:t xml:space="preserve"> are properly implemented into national law in order for their substance to have full effect in the Member States.</w:t>
      </w:r>
    </w:p>
    <w:p w14:paraId="67BA5541" w14:textId="77777777" w:rsidR="00655800" w:rsidRPr="009C697D" w:rsidRDefault="00655800" w:rsidP="003F2CDD">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Secondly,</w:t>
      </w:r>
      <w:r w:rsidR="0067350A" w:rsidRPr="009C697D">
        <w:rPr>
          <w:rFonts w:ascii="Times New Roman" w:hAnsi="Times New Roman" w:cs="Times New Roman"/>
          <w:sz w:val="28"/>
          <w:szCs w:val="28"/>
        </w:rPr>
        <w:t xml:space="preserve"> due to hierarchy of legal acts,</w:t>
      </w:r>
      <w:r w:rsidRPr="009C697D">
        <w:rPr>
          <w:rFonts w:ascii="Times New Roman" w:hAnsi="Times New Roman" w:cs="Times New Roman"/>
          <w:sz w:val="28"/>
          <w:szCs w:val="28"/>
        </w:rPr>
        <w:t xml:space="preserve"> the legal effects of a </w:t>
      </w:r>
      <w:r w:rsidR="00970581" w:rsidRPr="009C697D">
        <w:rPr>
          <w:rFonts w:ascii="Times New Roman" w:hAnsi="Times New Roman" w:cs="Times New Roman"/>
          <w:sz w:val="28"/>
          <w:szCs w:val="28"/>
        </w:rPr>
        <w:t>FD</w:t>
      </w:r>
      <w:r w:rsidR="00551E68" w:rsidRPr="009C697D">
        <w:rPr>
          <w:rFonts w:ascii="Times New Roman" w:hAnsi="Times New Roman" w:cs="Times New Roman"/>
          <w:sz w:val="28"/>
          <w:szCs w:val="28"/>
        </w:rPr>
        <w:t xml:space="preserve"> (e.g. mutual recognition)</w:t>
      </w:r>
      <w:r w:rsidRPr="009C697D">
        <w:rPr>
          <w:rFonts w:ascii="Times New Roman" w:hAnsi="Times New Roman" w:cs="Times New Roman"/>
          <w:sz w:val="28"/>
          <w:szCs w:val="28"/>
        </w:rPr>
        <w:t xml:space="preserve"> are limited with primary EU law and fundamental human rights</w:t>
      </w:r>
      <w:r w:rsidR="00650148" w:rsidRPr="009C697D">
        <w:rPr>
          <w:rFonts w:ascii="Times New Roman" w:hAnsi="Times New Roman" w:cs="Times New Roman"/>
          <w:sz w:val="28"/>
          <w:szCs w:val="28"/>
        </w:rPr>
        <w:t xml:space="preserve">, for </w:t>
      </w:r>
      <w:r w:rsidR="00650148" w:rsidRPr="009C697D">
        <w:rPr>
          <w:rFonts w:ascii="Times New Roman" w:hAnsi="Times New Roman" w:cs="Times New Roman"/>
          <w:sz w:val="28"/>
          <w:szCs w:val="28"/>
        </w:rPr>
        <w:lastRenderedPageBreak/>
        <w:t>instance the right to fair trial</w:t>
      </w:r>
      <w:r w:rsidR="00E55052" w:rsidRPr="009C697D">
        <w:rPr>
          <w:rFonts w:ascii="Times New Roman" w:hAnsi="Times New Roman" w:cs="Times New Roman"/>
          <w:sz w:val="28"/>
          <w:szCs w:val="28"/>
        </w:rPr>
        <w:t xml:space="preserve"> [8</w:t>
      </w:r>
      <w:r w:rsidR="00650148" w:rsidRPr="009C697D">
        <w:rPr>
          <w:rFonts w:ascii="Times New Roman" w:hAnsi="Times New Roman" w:cs="Times New Roman"/>
          <w:sz w:val="28"/>
          <w:szCs w:val="28"/>
        </w:rPr>
        <w:t>. P. 585]</w:t>
      </w:r>
      <w:r w:rsidRPr="009C697D">
        <w:rPr>
          <w:rFonts w:ascii="Times New Roman" w:hAnsi="Times New Roman" w:cs="Times New Roman"/>
          <w:sz w:val="28"/>
          <w:szCs w:val="28"/>
        </w:rPr>
        <w:t xml:space="preserve">. </w:t>
      </w:r>
      <w:r w:rsidR="00970581" w:rsidRPr="009C697D">
        <w:rPr>
          <w:rFonts w:ascii="Times New Roman" w:hAnsi="Times New Roman" w:cs="Times New Roman"/>
          <w:sz w:val="28"/>
          <w:szCs w:val="28"/>
        </w:rPr>
        <w:t>For example, in case of FD EAW t</w:t>
      </w:r>
      <w:r w:rsidR="003F2CDD" w:rsidRPr="009C697D">
        <w:rPr>
          <w:rFonts w:ascii="Times New Roman" w:hAnsi="Times New Roman" w:cs="Times New Roman"/>
          <w:sz w:val="28"/>
          <w:szCs w:val="28"/>
        </w:rPr>
        <w:t>his is acknowledged by the</w:t>
      </w:r>
      <w:r w:rsidR="00970581" w:rsidRPr="009C697D">
        <w:rPr>
          <w:rFonts w:ascii="Times New Roman" w:hAnsi="Times New Roman" w:cs="Times New Roman"/>
          <w:sz w:val="28"/>
          <w:szCs w:val="28"/>
        </w:rPr>
        <w:t xml:space="preserve"> legal instrument</w:t>
      </w:r>
      <w:r w:rsidR="00650148" w:rsidRPr="009C697D">
        <w:rPr>
          <w:rFonts w:ascii="Times New Roman" w:hAnsi="Times New Roman" w:cs="Times New Roman"/>
          <w:sz w:val="28"/>
          <w:szCs w:val="28"/>
        </w:rPr>
        <w:t xml:space="preserve"> </w:t>
      </w:r>
      <w:r w:rsidR="003F2CDD" w:rsidRPr="009C697D">
        <w:rPr>
          <w:rFonts w:ascii="Times New Roman" w:hAnsi="Times New Roman" w:cs="Times New Roman"/>
          <w:sz w:val="28"/>
          <w:szCs w:val="28"/>
        </w:rPr>
        <w:t xml:space="preserve">itself. </w:t>
      </w:r>
      <w:r w:rsidR="003F2CDD" w:rsidRPr="009C697D">
        <w:rPr>
          <w:rFonts w:ascii="Times New Roman" w:hAnsi="Times New Roman" w:cs="Times New Roman"/>
          <w:sz w:val="28"/>
          <w:szCs w:val="28"/>
          <w:lang w:val="en-US"/>
        </w:rPr>
        <w:t xml:space="preserve">Article 1(3) FD EAW stipulates that </w:t>
      </w:r>
      <w:r w:rsidR="003F2CDD" w:rsidRPr="009C697D">
        <w:rPr>
          <w:rFonts w:ascii="Times New Roman" w:hAnsi="Times New Roman" w:cs="Times New Roman"/>
          <w:sz w:val="28"/>
          <w:szCs w:val="28"/>
        </w:rPr>
        <w:t xml:space="preserve">the FD EAW shall not affect the obligation to respect fundamental rights as stipulated in Article 6 TEU. Meaning respecting the Charter of Fundamental Rights of the </w:t>
      </w:r>
      <w:r w:rsidR="00970581" w:rsidRPr="009C697D">
        <w:rPr>
          <w:rFonts w:ascii="Times New Roman" w:hAnsi="Times New Roman" w:cs="Times New Roman"/>
          <w:sz w:val="28"/>
          <w:szCs w:val="28"/>
        </w:rPr>
        <w:t xml:space="preserve">EU </w:t>
      </w:r>
      <w:r w:rsidR="003F2CDD" w:rsidRPr="009C697D">
        <w:rPr>
          <w:rFonts w:ascii="Times New Roman" w:hAnsi="Times New Roman" w:cs="Times New Roman"/>
          <w:sz w:val="28"/>
          <w:szCs w:val="28"/>
        </w:rPr>
        <w:t>(</w:t>
      </w:r>
      <w:r w:rsidR="00D12B6E" w:rsidRPr="009C697D">
        <w:rPr>
          <w:rFonts w:ascii="Times New Roman" w:hAnsi="Times New Roman" w:cs="Times New Roman"/>
          <w:sz w:val="28"/>
          <w:szCs w:val="28"/>
        </w:rPr>
        <w:t>hereinafter: Charter</w:t>
      </w:r>
      <w:r w:rsidR="003F2CDD" w:rsidRPr="009C697D">
        <w:rPr>
          <w:rFonts w:ascii="Times New Roman" w:hAnsi="Times New Roman" w:cs="Times New Roman"/>
          <w:sz w:val="28"/>
          <w:szCs w:val="28"/>
        </w:rPr>
        <w:t>), and the European Convention for the Protection of Human Rights and Fundamental Freedoms (</w:t>
      </w:r>
      <w:r w:rsidR="0067350A" w:rsidRPr="009C697D">
        <w:rPr>
          <w:rFonts w:ascii="Times New Roman" w:hAnsi="Times New Roman" w:cs="Times New Roman"/>
          <w:sz w:val="28"/>
          <w:szCs w:val="28"/>
        </w:rPr>
        <w:t xml:space="preserve">hereinafter: </w:t>
      </w:r>
      <w:r w:rsidR="003F2CDD" w:rsidRPr="009C697D">
        <w:rPr>
          <w:rFonts w:ascii="Times New Roman" w:hAnsi="Times New Roman" w:cs="Times New Roman"/>
          <w:sz w:val="28"/>
          <w:szCs w:val="28"/>
        </w:rPr>
        <w:t>ECHR).</w:t>
      </w:r>
    </w:p>
    <w:p w14:paraId="72657BD2" w14:textId="260C03D1" w:rsidR="0003018A" w:rsidRPr="009C697D" w:rsidRDefault="003F2CDD" w:rsidP="003F2CDD">
      <w:pPr>
        <w:spacing w:line="360" w:lineRule="auto"/>
        <w:ind w:firstLine="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 xml:space="preserve">This </w:t>
      </w:r>
      <w:r w:rsidR="00F903BB" w:rsidRPr="009C697D">
        <w:rPr>
          <w:rFonts w:ascii="Times New Roman" w:hAnsi="Times New Roman" w:cs="Times New Roman"/>
          <w:sz w:val="28"/>
          <w:szCs w:val="28"/>
          <w:lang w:val="en-US"/>
        </w:rPr>
        <w:t xml:space="preserve">is reflected also </w:t>
      </w:r>
      <w:r w:rsidRPr="009C697D">
        <w:rPr>
          <w:rFonts w:ascii="Times New Roman" w:hAnsi="Times New Roman" w:cs="Times New Roman"/>
          <w:sz w:val="28"/>
          <w:szCs w:val="28"/>
          <w:lang w:val="en-US"/>
        </w:rPr>
        <w:t xml:space="preserve">in </w:t>
      </w:r>
      <w:r w:rsidR="0067350A" w:rsidRPr="009C697D">
        <w:rPr>
          <w:rFonts w:ascii="Times New Roman" w:hAnsi="Times New Roman" w:cs="Times New Roman"/>
          <w:sz w:val="28"/>
          <w:szCs w:val="28"/>
          <w:lang w:val="en-US"/>
        </w:rPr>
        <w:t>CJEU</w:t>
      </w:r>
      <w:r w:rsidRPr="009C697D">
        <w:rPr>
          <w:rFonts w:ascii="Times New Roman" w:hAnsi="Times New Roman" w:cs="Times New Roman"/>
          <w:sz w:val="28"/>
          <w:szCs w:val="28"/>
          <w:lang w:val="en-US"/>
        </w:rPr>
        <w:t xml:space="preserve"> case law. For instance, </w:t>
      </w:r>
      <w:r w:rsidR="00F903BB" w:rsidRPr="009C697D">
        <w:rPr>
          <w:rFonts w:ascii="Times New Roman" w:hAnsi="Times New Roman" w:cs="Times New Roman"/>
          <w:sz w:val="28"/>
          <w:szCs w:val="28"/>
        </w:rPr>
        <w:t>in case</w:t>
      </w:r>
      <w:r w:rsidR="0003018A" w:rsidRPr="009C697D">
        <w:rPr>
          <w:rFonts w:ascii="Times New Roman" w:hAnsi="Times New Roman" w:cs="Times New Roman"/>
          <w:sz w:val="28"/>
          <w:szCs w:val="28"/>
        </w:rPr>
        <w:t xml:space="preserve"> </w:t>
      </w:r>
      <w:proofErr w:type="spellStart"/>
      <w:r w:rsidR="0003018A" w:rsidRPr="009C697D">
        <w:rPr>
          <w:rFonts w:ascii="Times New Roman" w:hAnsi="Times New Roman" w:cs="Times New Roman"/>
          <w:i/>
          <w:iCs/>
          <w:sz w:val="28"/>
          <w:szCs w:val="28"/>
          <w:lang w:val="en-US"/>
        </w:rPr>
        <w:t>Aranyosi</w:t>
      </w:r>
      <w:proofErr w:type="spellEnd"/>
      <w:r w:rsidR="0003018A" w:rsidRPr="009C697D">
        <w:rPr>
          <w:rFonts w:ascii="Times New Roman" w:hAnsi="Times New Roman" w:cs="Times New Roman"/>
          <w:i/>
          <w:iCs/>
          <w:sz w:val="28"/>
          <w:szCs w:val="28"/>
          <w:lang w:val="en-US"/>
        </w:rPr>
        <w:t xml:space="preserve"> and </w:t>
      </w:r>
      <w:proofErr w:type="spellStart"/>
      <w:r w:rsidR="0003018A" w:rsidRPr="009C697D">
        <w:rPr>
          <w:rFonts w:ascii="Times New Roman" w:hAnsi="Times New Roman" w:cs="Times New Roman"/>
          <w:i/>
          <w:iCs/>
          <w:sz w:val="28"/>
          <w:szCs w:val="28"/>
          <w:lang w:val="en-US"/>
        </w:rPr>
        <w:t>Căldăraru</w:t>
      </w:r>
      <w:proofErr w:type="spellEnd"/>
      <w:r w:rsidR="00F903BB" w:rsidRPr="009C697D">
        <w:rPr>
          <w:rFonts w:ascii="Times New Roman" w:hAnsi="Times New Roman" w:cs="Times New Roman"/>
          <w:i/>
          <w:iCs/>
          <w:sz w:val="28"/>
          <w:szCs w:val="28"/>
          <w:lang w:val="en-US"/>
        </w:rPr>
        <w:t xml:space="preserve"> </w:t>
      </w:r>
      <w:r w:rsidR="00E55052" w:rsidRPr="009C697D">
        <w:rPr>
          <w:rFonts w:ascii="Times New Roman" w:hAnsi="Times New Roman" w:cs="Times New Roman"/>
          <w:iCs/>
          <w:sz w:val="28"/>
          <w:szCs w:val="28"/>
          <w:lang w:val="en-US"/>
        </w:rPr>
        <w:t>[6</w:t>
      </w:r>
      <w:r w:rsidR="00F903BB" w:rsidRPr="009C697D">
        <w:rPr>
          <w:rFonts w:ascii="Times New Roman" w:hAnsi="Times New Roman" w:cs="Times New Roman"/>
          <w:iCs/>
          <w:sz w:val="28"/>
          <w:szCs w:val="28"/>
          <w:lang w:val="en-US"/>
        </w:rPr>
        <w:t>]</w:t>
      </w:r>
      <w:r w:rsidR="00F903BB" w:rsidRPr="009C697D">
        <w:rPr>
          <w:rFonts w:ascii="Times New Roman" w:hAnsi="Times New Roman" w:cs="Times New Roman"/>
          <w:sz w:val="28"/>
          <w:szCs w:val="28"/>
          <w:lang w:val="en-US"/>
        </w:rPr>
        <w:t>, in which</w:t>
      </w:r>
      <w:r w:rsidR="00EE5FFC" w:rsidRPr="009C697D">
        <w:rPr>
          <w:rFonts w:ascii="Times New Roman" w:hAnsi="Times New Roman" w:cs="Times New Roman"/>
          <w:sz w:val="28"/>
          <w:szCs w:val="28"/>
          <w:lang w:val="en-US"/>
        </w:rPr>
        <w:t xml:space="preserve"> the risk of degrading and inhumane treatment in the</w:t>
      </w:r>
      <w:r w:rsidR="00F903BB" w:rsidRPr="009C697D">
        <w:rPr>
          <w:rFonts w:ascii="Times New Roman" w:hAnsi="Times New Roman" w:cs="Times New Roman"/>
          <w:sz w:val="28"/>
          <w:szCs w:val="28"/>
          <w:lang w:val="en-US"/>
        </w:rPr>
        <w:t xml:space="preserve"> detention facilities of</w:t>
      </w:r>
      <w:r w:rsidR="00EE5FFC" w:rsidRPr="009C697D">
        <w:rPr>
          <w:rFonts w:ascii="Times New Roman" w:hAnsi="Times New Roman" w:cs="Times New Roman"/>
          <w:sz w:val="28"/>
          <w:szCs w:val="28"/>
          <w:lang w:val="en-US"/>
        </w:rPr>
        <w:t xml:space="preserve"> requesting Member States constituted a ground for non-execution of the EAW [</w:t>
      </w:r>
      <w:r w:rsidR="00F903BB" w:rsidRPr="009C697D">
        <w:rPr>
          <w:rFonts w:ascii="Times New Roman" w:hAnsi="Times New Roman" w:cs="Times New Roman"/>
          <w:sz w:val="28"/>
          <w:szCs w:val="28"/>
          <w:lang w:val="en-US"/>
        </w:rPr>
        <w:t xml:space="preserve">1. P. 447; </w:t>
      </w:r>
      <w:r w:rsidR="00E55052" w:rsidRPr="009C697D">
        <w:rPr>
          <w:rFonts w:ascii="Times New Roman" w:hAnsi="Times New Roman" w:cs="Times New Roman"/>
          <w:sz w:val="28"/>
          <w:szCs w:val="28"/>
          <w:lang w:val="en-US"/>
        </w:rPr>
        <w:t>6</w:t>
      </w:r>
      <w:r w:rsidR="00F903BB" w:rsidRPr="009C697D">
        <w:rPr>
          <w:rFonts w:ascii="Times New Roman" w:hAnsi="Times New Roman" w:cs="Times New Roman"/>
          <w:sz w:val="28"/>
          <w:szCs w:val="28"/>
          <w:lang w:val="en-US"/>
        </w:rPr>
        <w:t>. Para. 82-84, 104]</w:t>
      </w:r>
      <w:r w:rsidR="00F903BB" w:rsidRPr="009C697D">
        <w:rPr>
          <w:rFonts w:ascii="Times New Roman" w:hAnsi="Times New Roman" w:cs="Times New Roman"/>
          <w:sz w:val="28"/>
          <w:szCs w:val="28"/>
        </w:rPr>
        <w:t>.</w:t>
      </w:r>
      <w:r w:rsidR="00EE5FFC" w:rsidRPr="009C697D">
        <w:rPr>
          <w:rFonts w:ascii="Times New Roman" w:hAnsi="Times New Roman" w:cs="Times New Roman"/>
          <w:sz w:val="28"/>
          <w:szCs w:val="28"/>
          <w:lang w:val="en-US"/>
        </w:rPr>
        <w:t xml:space="preserve"> The CJEU </w:t>
      </w:r>
      <w:r w:rsidR="00F903BB" w:rsidRPr="009C697D">
        <w:rPr>
          <w:rFonts w:ascii="Times New Roman" w:hAnsi="Times New Roman" w:cs="Times New Roman"/>
          <w:sz w:val="28"/>
          <w:szCs w:val="28"/>
          <w:lang w:val="en-US"/>
        </w:rPr>
        <w:t>reaffirmed</w:t>
      </w:r>
      <w:r w:rsidR="00EE5FFC" w:rsidRPr="009C697D">
        <w:rPr>
          <w:rFonts w:ascii="Times New Roman" w:hAnsi="Times New Roman" w:cs="Times New Roman"/>
          <w:sz w:val="28"/>
          <w:szCs w:val="28"/>
          <w:lang w:val="en-US"/>
        </w:rPr>
        <w:t xml:space="preserve"> its </w:t>
      </w:r>
      <w:r w:rsidR="00F903BB" w:rsidRPr="009C697D">
        <w:rPr>
          <w:rFonts w:ascii="Times New Roman" w:hAnsi="Times New Roman" w:cs="Times New Roman"/>
          <w:sz w:val="28"/>
          <w:szCs w:val="28"/>
          <w:lang w:val="en-US"/>
        </w:rPr>
        <w:t>position</w:t>
      </w:r>
      <w:r w:rsidR="00EE5FFC" w:rsidRPr="009C697D">
        <w:rPr>
          <w:rFonts w:ascii="Times New Roman" w:hAnsi="Times New Roman" w:cs="Times New Roman"/>
          <w:sz w:val="28"/>
          <w:szCs w:val="28"/>
          <w:lang w:val="en-US"/>
        </w:rPr>
        <w:t xml:space="preserve"> that </w:t>
      </w:r>
      <w:r w:rsidR="0003018A" w:rsidRPr="009C697D">
        <w:rPr>
          <w:rFonts w:ascii="Times New Roman" w:hAnsi="Times New Roman" w:cs="Times New Roman"/>
          <w:sz w:val="28"/>
          <w:szCs w:val="28"/>
          <w:lang w:val="en-US"/>
        </w:rPr>
        <w:t>“in exceptional circumstances” limitation</w:t>
      </w:r>
      <w:r w:rsidR="00C2537F" w:rsidRPr="009C697D">
        <w:rPr>
          <w:rFonts w:ascii="Times New Roman" w:hAnsi="Times New Roman" w:cs="Times New Roman"/>
          <w:sz w:val="28"/>
          <w:szCs w:val="28"/>
          <w:lang w:val="en-US"/>
        </w:rPr>
        <w:t>s</w:t>
      </w:r>
      <w:r w:rsidR="0003018A" w:rsidRPr="009C697D">
        <w:rPr>
          <w:rFonts w:ascii="Times New Roman" w:hAnsi="Times New Roman" w:cs="Times New Roman"/>
          <w:sz w:val="28"/>
          <w:szCs w:val="28"/>
          <w:lang w:val="en-US"/>
        </w:rPr>
        <w:t xml:space="preserve"> may be placed on the principles of mutual recognition and mutual trust</w:t>
      </w:r>
      <w:r w:rsidR="00F903BB" w:rsidRPr="009C697D">
        <w:rPr>
          <w:rFonts w:ascii="Times New Roman" w:hAnsi="Times New Roman" w:cs="Times New Roman"/>
          <w:sz w:val="28"/>
          <w:szCs w:val="28"/>
          <w:lang w:val="en-US"/>
        </w:rPr>
        <w:t xml:space="preserve"> - </w:t>
      </w:r>
      <w:r w:rsidRPr="009C697D">
        <w:rPr>
          <w:rFonts w:ascii="Times New Roman" w:hAnsi="Times New Roman" w:cs="Times New Roman"/>
          <w:sz w:val="28"/>
          <w:szCs w:val="28"/>
          <w:lang w:val="en-US"/>
        </w:rPr>
        <w:t>me</w:t>
      </w:r>
      <w:r w:rsidR="00970581" w:rsidRPr="009C697D">
        <w:rPr>
          <w:rFonts w:ascii="Times New Roman" w:hAnsi="Times New Roman" w:cs="Times New Roman"/>
          <w:sz w:val="28"/>
          <w:szCs w:val="28"/>
          <w:lang w:val="en-US"/>
        </w:rPr>
        <w:t>aning refusal to execute an EAW</w:t>
      </w:r>
      <w:r w:rsidR="00E55052" w:rsidRPr="009C697D">
        <w:rPr>
          <w:rFonts w:ascii="Times New Roman" w:hAnsi="Times New Roman" w:cs="Times New Roman"/>
          <w:sz w:val="28"/>
          <w:szCs w:val="28"/>
          <w:lang w:val="en-US"/>
        </w:rPr>
        <w:t xml:space="preserve"> [6</w:t>
      </w:r>
      <w:r w:rsidR="00F903BB" w:rsidRPr="009C697D">
        <w:rPr>
          <w:rFonts w:ascii="Times New Roman" w:hAnsi="Times New Roman" w:cs="Times New Roman"/>
          <w:sz w:val="28"/>
          <w:szCs w:val="28"/>
          <w:lang w:val="en-US"/>
        </w:rPr>
        <w:t>. Para. 83]</w:t>
      </w:r>
      <w:r w:rsidR="0003018A" w:rsidRPr="009C697D">
        <w:rPr>
          <w:rFonts w:ascii="Times New Roman" w:hAnsi="Times New Roman" w:cs="Times New Roman"/>
          <w:sz w:val="28"/>
          <w:szCs w:val="28"/>
          <w:lang w:val="en-US"/>
        </w:rPr>
        <w:t>.</w:t>
      </w:r>
      <w:r w:rsidRPr="009C697D">
        <w:rPr>
          <w:rFonts w:ascii="Times New Roman" w:hAnsi="Times New Roman" w:cs="Times New Roman"/>
          <w:sz w:val="28"/>
          <w:szCs w:val="28"/>
          <w:lang w:val="en-US"/>
        </w:rPr>
        <w:t xml:space="preserve"> </w:t>
      </w:r>
      <w:r w:rsidR="00F903BB" w:rsidRPr="009C697D">
        <w:rPr>
          <w:rFonts w:ascii="Times New Roman" w:hAnsi="Times New Roman" w:cs="Times New Roman"/>
          <w:sz w:val="28"/>
          <w:szCs w:val="28"/>
          <w:lang w:val="en-US"/>
        </w:rPr>
        <w:t>In this</w:t>
      </w:r>
      <w:r w:rsidR="004365BD" w:rsidRPr="009C697D">
        <w:rPr>
          <w:rFonts w:ascii="Times New Roman" w:hAnsi="Times New Roman" w:cs="Times New Roman"/>
          <w:sz w:val="28"/>
          <w:szCs w:val="28"/>
          <w:lang w:val="en-US"/>
        </w:rPr>
        <w:t xml:space="preserve"> case</w:t>
      </w:r>
      <w:r w:rsidR="00551E68" w:rsidRPr="009C697D">
        <w:rPr>
          <w:rFonts w:ascii="Times New Roman" w:hAnsi="Times New Roman" w:cs="Times New Roman"/>
          <w:sz w:val="28"/>
          <w:szCs w:val="28"/>
          <w:lang w:val="en-US"/>
        </w:rPr>
        <w:t xml:space="preserve"> - </w:t>
      </w:r>
      <w:r w:rsidR="00551E68" w:rsidRPr="009C697D">
        <w:rPr>
          <w:rFonts w:ascii="Times New Roman" w:hAnsi="Times New Roman" w:cs="Times New Roman"/>
          <w:sz w:val="28"/>
          <w:szCs w:val="28"/>
        </w:rPr>
        <w:t xml:space="preserve">due to poor detention conditions </w:t>
      </w:r>
      <w:r w:rsidR="009F3896" w:rsidRPr="009C697D">
        <w:rPr>
          <w:rFonts w:ascii="Times New Roman" w:hAnsi="Times New Roman" w:cs="Times New Roman"/>
          <w:sz w:val="28"/>
          <w:szCs w:val="28"/>
        </w:rPr>
        <w:t>–</w:t>
      </w:r>
      <w:r w:rsidR="00551E68" w:rsidRPr="009C697D">
        <w:rPr>
          <w:rFonts w:ascii="Times New Roman" w:hAnsi="Times New Roman" w:cs="Times New Roman"/>
          <w:sz w:val="28"/>
          <w:szCs w:val="28"/>
        </w:rPr>
        <w:t xml:space="preserve"> </w:t>
      </w:r>
      <w:r w:rsidR="009F3896" w:rsidRPr="009C697D">
        <w:rPr>
          <w:rFonts w:ascii="Times New Roman" w:hAnsi="Times New Roman" w:cs="Times New Roman"/>
          <w:sz w:val="28"/>
          <w:szCs w:val="28"/>
        </w:rPr>
        <w:t xml:space="preserve">the Court sees that the risk of </w:t>
      </w:r>
      <w:r w:rsidR="003C473A" w:rsidRPr="009C697D">
        <w:rPr>
          <w:rFonts w:ascii="Times New Roman" w:hAnsi="Times New Roman" w:cs="Times New Roman"/>
          <w:sz w:val="28"/>
          <w:szCs w:val="28"/>
        </w:rPr>
        <w:t>degrading treatment of individuals</w:t>
      </w:r>
      <w:r w:rsidR="00551E68" w:rsidRPr="009C697D">
        <w:rPr>
          <w:rFonts w:ascii="Times New Roman" w:hAnsi="Times New Roman" w:cs="Times New Roman"/>
          <w:sz w:val="28"/>
          <w:szCs w:val="28"/>
        </w:rPr>
        <w:t xml:space="preserve"> </w:t>
      </w:r>
      <w:r w:rsidR="009F3896" w:rsidRPr="009C697D">
        <w:rPr>
          <w:rFonts w:ascii="Times New Roman" w:hAnsi="Times New Roman" w:cs="Times New Roman"/>
          <w:sz w:val="28"/>
          <w:szCs w:val="28"/>
        </w:rPr>
        <w:t>could</w:t>
      </w:r>
      <w:r w:rsidR="00551E68" w:rsidRPr="009C697D">
        <w:rPr>
          <w:rFonts w:ascii="Times New Roman" w:hAnsi="Times New Roman" w:cs="Times New Roman"/>
          <w:sz w:val="28"/>
          <w:szCs w:val="28"/>
        </w:rPr>
        <w:t xml:space="preserve"> </w:t>
      </w:r>
      <w:r w:rsidR="009F3896" w:rsidRPr="009C697D">
        <w:rPr>
          <w:rFonts w:ascii="Times New Roman" w:hAnsi="Times New Roman" w:cs="Times New Roman"/>
          <w:sz w:val="28"/>
          <w:szCs w:val="28"/>
        </w:rPr>
        <w:t>be realized</w:t>
      </w:r>
      <w:r w:rsidR="003C473A" w:rsidRPr="009C697D">
        <w:rPr>
          <w:rFonts w:ascii="Times New Roman" w:hAnsi="Times New Roman" w:cs="Times New Roman"/>
          <w:sz w:val="28"/>
          <w:szCs w:val="28"/>
        </w:rPr>
        <w:t>,</w:t>
      </w:r>
      <w:r w:rsidR="00F903BB" w:rsidRPr="009C697D">
        <w:rPr>
          <w:rFonts w:ascii="Times New Roman" w:hAnsi="Times New Roman" w:cs="Times New Roman"/>
          <w:sz w:val="28"/>
          <w:szCs w:val="28"/>
        </w:rPr>
        <w:t xml:space="preserve"> which result</w:t>
      </w:r>
      <w:r w:rsidR="00551E68" w:rsidRPr="009C697D">
        <w:rPr>
          <w:rFonts w:ascii="Times New Roman" w:hAnsi="Times New Roman" w:cs="Times New Roman"/>
          <w:sz w:val="28"/>
          <w:szCs w:val="28"/>
        </w:rPr>
        <w:t>s</w:t>
      </w:r>
      <w:r w:rsidR="00F903BB" w:rsidRPr="009C697D">
        <w:rPr>
          <w:rFonts w:ascii="Times New Roman" w:hAnsi="Times New Roman" w:cs="Times New Roman"/>
          <w:sz w:val="28"/>
          <w:szCs w:val="28"/>
        </w:rPr>
        <w:t xml:space="preserve"> in a breach of </w:t>
      </w:r>
      <w:r w:rsidR="009F3896" w:rsidRPr="009C697D">
        <w:rPr>
          <w:rFonts w:ascii="Times New Roman" w:hAnsi="Times New Roman" w:cs="Times New Roman"/>
          <w:sz w:val="28"/>
          <w:szCs w:val="28"/>
        </w:rPr>
        <w:t>A</w:t>
      </w:r>
      <w:r w:rsidR="00F903BB" w:rsidRPr="009C697D">
        <w:rPr>
          <w:rFonts w:ascii="Times New Roman" w:hAnsi="Times New Roman" w:cs="Times New Roman"/>
          <w:sz w:val="28"/>
          <w:szCs w:val="28"/>
        </w:rPr>
        <w:t>rticles</w:t>
      </w:r>
      <w:r w:rsidR="003C473A" w:rsidRPr="009C697D">
        <w:rPr>
          <w:rFonts w:ascii="Times New Roman" w:hAnsi="Times New Roman" w:cs="Times New Roman"/>
          <w:sz w:val="28"/>
          <w:szCs w:val="28"/>
        </w:rPr>
        <w:t xml:space="preserve"> 3 ECHR</w:t>
      </w:r>
      <w:r w:rsidR="00F903BB" w:rsidRPr="009C697D">
        <w:rPr>
          <w:rFonts w:ascii="Times New Roman" w:hAnsi="Times New Roman" w:cs="Times New Roman"/>
          <w:sz w:val="28"/>
          <w:szCs w:val="28"/>
        </w:rPr>
        <w:t xml:space="preserve">, and 4 of the Charter -  both </w:t>
      </w:r>
      <w:r w:rsidR="003C473A" w:rsidRPr="009C697D">
        <w:rPr>
          <w:rFonts w:ascii="Times New Roman" w:hAnsi="Times New Roman" w:cs="Times New Roman"/>
          <w:sz w:val="28"/>
          <w:szCs w:val="28"/>
        </w:rPr>
        <w:t>prohibiti</w:t>
      </w:r>
      <w:r w:rsidR="00F903BB" w:rsidRPr="009C697D">
        <w:rPr>
          <w:rFonts w:ascii="Times New Roman" w:hAnsi="Times New Roman" w:cs="Times New Roman"/>
          <w:sz w:val="28"/>
          <w:szCs w:val="28"/>
        </w:rPr>
        <w:t>ng</w:t>
      </w:r>
      <w:r w:rsidR="003C473A" w:rsidRPr="009C697D">
        <w:rPr>
          <w:rFonts w:ascii="Times New Roman" w:hAnsi="Times New Roman" w:cs="Times New Roman"/>
          <w:sz w:val="28"/>
          <w:szCs w:val="28"/>
        </w:rPr>
        <w:t xml:space="preserve"> </w:t>
      </w:r>
      <w:r w:rsidR="00F903BB" w:rsidRPr="009C697D">
        <w:rPr>
          <w:rFonts w:ascii="Times New Roman" w:hAnsi="Times New Roman" w:cs="Times New Roman"/>
          <w:sz w:val="28"/>
          <w:szCs w:val="28"/>
        </w:rPr>
        <w:t>torture</w:t>
      </w:r>
      <w:r w:rsidR="003C473A" w:rsidRPr="009C697D">
        <w:rPr>
          <w:rFonts w:ascii="Times New Roman" w:hAnsi="Times New Roman" w:cs="Times New Roman"/>
          <w:sz w:val="28"/>
          <w:szCs w:val="28"/>
        </w:rPr>
        <w:t xml:space="preserve"> </w:t>
      </w:r>
      <w:r w:rsidR="00C2537F" w:rsidRPr="009C697D">
        <w:rPr>
          <w:rFonts w:ascii="Times New Roman" w:hAnsi="Times New Roman" w:cs="Times New Roman"/>
          <w:sz w:val="28"/>
          <w:szCs w:val="28"/>
        </w:rPr>
        <w:t xml:space="preserve">and inhumane or degrading treatment </w:t>
      </w:r>
      <w:r w:rsidR="00F903BB" w:rsidRPr="009C697D">
        <w:rPr>
          <w:rFonts w:ascii="Times New Roman" w:hAnsi="Times New Roman" w:cs="Times New Roman"/>
          <w:sz w:val="28"/>
          <w:szCs w:val="28"/>
        </w:rPr>
        <w:t>[</w:t>
      </w:r>
      <w:r w:rsidR="00E55052" w:rsidRPr="009C697D">
        <w:rPr>
          <w:rFonts w:ascii="Times New Roman" w:hAnsi="Times New Roman" w:cs="Times New Roman"/>
          <w:sz w:val="28"/>
          <w:szCs w:val="28"/>
        </w:rPr>
        <w:t>6</w:t>
      </w:r>
      <w:r w:rsidR="00F903BB" w:rsidRPr="009C697D">
        <w:rPr>
          <w:rFonts w:ascii="Times New Roman" w:hAnsi="Times New Roman" w:cs="Times New Roman"/>
          <w:sz w:val="28"/>
          <w:szCs w:val="28"/>
        </w:rPr>
        <w:t>. Para. 42, 73]</w:t>
      </w:r>
      <w:r w:rsidR="003C473A" w:rsidRPr="009C697D">
        <w:rPr>
          <w:rFonts w:ascii="Times New Roman" w:hAnsi="Times New Roman" w:cs="Times New Roman"/>
          <w:sz w:val="28"/>
          <w:szCs w:val="28"/>
        </w:rPr>
        <w:t>.</w:t>
      </w:r>
    </w:p>
    <w:p w14:paraId="3A4C25FE" w14:textId="704014F6" w:rsidR="004365BD" w:rsidRPr="009C697D" w:rsidRDefault="00C2537F" w:rsidP="00A552E1">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lang w:val="en-US"/>
        </w:rPr>
        <w:t>Furthermore</w:t>
      </w:r>
      <w:r w:rsidR="004365BD" w:rsidRPr="009C697D">
        <w:rPr>
          <w:rFonts w:ascii="Times New Roman" w:hAnsi="Times New Roman" w:cs="Times New Roman"/>
          <w:sz w:val="28"/>
          <w:szCs w:val="28"/>
        </w:rPr>
        <w:t xml:space="preserve">, </w:t>
      </w:r>
      <w:r w:rsidRPr="009C697D">
        <w:rPr>
          <w:rFonts w:ascii="Times New Roman" w:hAnsi="Times New Roman" w:cs="Times New Roman"/>
          <w:sz w:val="28"/>
          <w:szCs w:val="28"/>
        </w:rPr>
        <w:t>it is true that (</w:t>
      </w:r>
      <w:r w:rsidR="004365BD" w:rsidRPr="009C697D">
        <w:rPr>
          <w:rFonts w:ascii="Times New Roman" w:hAnsi="Times New Roman" w:cs="Times New Roman"/>
          <w:sz w:val="28"/>
          <w:szCs w:val="28"/>
        </w:rPr>
        <w:t xml:space="preserve">as mentioned by </w:t>
      </w:r>
      <w:r w:rsidRPr="009C697D">
        <w:rPr>
          <w:rFonts w:ascii="Times New Roman" w:hAnsi="Times New Roman" w:cs="Times New Roman"/>
          <w:sz w:val="28"/>
          <w:szCs w:val="28"/>
        </w:rPr>
        <w:t xml:space="preserve">the </w:t>
      </w:r>
      <w:r w:rsidR="004365BD" w:rsidRPr="009C697D">
        <w:rPr>
          <w:rFonts w:ascii="Times New Roman" w:hAnsi="Times New Roman" w:cs="Times New Roman"/>
          <w:sz w:val="28"/>
          <w:szCs w:val="28"/>
        </w:rPr>
        <w:t xml:space="preserve">CJEU in a recent </w:t>
      </w:r>
      <w:r w:rsidR="004365BD" w:rsidRPr="009C697D">
        <w:rPr>
          <w:rFonts w:ascii="Times New Roman" w:hAnsi="Times New Roman" w:cs="Times New Roman"/>
          <w:i/>
          <w:sz w:val="28"/>
          <w:szCs w:val="28"/>
        </w:rPr>
        <w:t>LM</w:t>
      </w:r>
      <w:r w:rsidRPr="009C697D">
        <w:rPr>
          <w:rFonts w:ascii="Times New Roman" w:hAnsi="Times New Roman" w:cs="Times New Roman"/>
          <w:i/>
          <w:sz w:val="28"/>
          <w:szCs w:val="28"/>
        </w:rPr>
        <w:t xml:space="preserve"> </w:t>
      </w:r>
      <w:r w:rsidRPr="009C697D">
        <w:rPr>
          <w:rFonts w:ascii="Times New Roman" w:hAnsi="Times New Roman" w:cs="Times New Roman"/>
          <w:sz w:val="28"/>
          <w:szCs w:val="28"/>
        </w:rPr>
        <w:t>case</w:t>
      </w:r>
      <w:r w:rsidRPr="009C697D">
        <w:rPr>
          <w:rFonts w:ascii="Times New Roman" w:hAnsi="Times New Roman" w:cs="Times New Roman"/>
          <w:i/>
          <w:sz w:val="28"/>
          <w:szCs w:val="28"/>
        </w:rPr>
        <w:t xml:space="preserve"> </w:t>
      </w:r>
      <w:r w:rsidR="00E55052" w:rsidRPr="009C697D">
        <w:rPr>
          <w:rFonts w:ascii="Times New Roman" w:hAnsi="Times New Roman" w:cs="Times New Roman"/>
          <w:sz w:val="28"/>
          <w:szCs w:val="28"/>
        </w:rPr>
        <w:t>[3</w:t>
      </w:r>
      <w:r w:rsidRPr="009C697D">
        <w:rPr>
          <w:rFonts w:ascii="Times New Roman" w:hAnsi="Times New Roman" w:cs="Times New Roman"/>
          <w:sz w:val="28"/>
          <w:szCs w:val="28"/>
        </w:rPr>
        <w:t>]),</w:t>
      </w:r>
      <w:r w:rsidR="004365BD" w:rsidRPr="009C697D">
        <w:rPr>
          <w:rFonts w:ascii="Times New Roman" w:hAnsi="Times New Roman" w:cs="Times New Roman"/>
          <w:sz w:val="28"/>
          <w:szCs w:val="28"/>
        </w:rPr>
        <w:t xml:space="preserve"> the principle of mutual trust requires</w:t>
      </w:r>
      <w:r w:rsidRPr="009C697D">
        <w:rPr>
          <w:rFonts w:ascii="Times New Roman" w:hAnsi="Times New Roman" w:cs="Times New Roman"/>
          <w:sz w:val="28"/>
          <w:szCs w:val="28"/>
        </w:rPr>
        <w:t xml:space="preserve"> from each Member State - especially in the area of freedom, security and justice - to trust that all other EU Member States legal systems </w:t>
      </w:r>
      <w:r w:rsidR="009F3896" w:rsidRPr="009C697D">
        <w:rPr>
          <w:rFonts w:ascii="Times New Roman" w:hAnsi="Times New Roman" w:cs="Times New Roman"/>
          <w:sz w:val="28"/>
          <w:szCs w:val="28"/>
        </w:rPr>
        <w:t>comply</w:t>
      </w:r>
      <w:r w:rsidRPr="009C697D">
        <w:rPr>
          <w:rFonts w:ascii="Times New Roman" w:hAnsi="Times New Roman" w:cs="Times New Roman"/>
          <w:sz w:val="28"/>
          <w:szCs w:val="28"/>
        </w:rPr>
        <w:t xml:space="preserve"> with EU law and fundamental human rights </w:t>
      </w:r>
      <w:r w:rsidR="00E55052" w:rsidRPr="009C697D">
        <w:rPr>
          <w:rFonts w:ascii="Times New Roman" w:hAnsi="Times New Roman" w:cs="Times New Roman"/>
          <w:sz w:val="28"/>
          <w:szCs w:val="28"/>
        </w:rPr>
        <w:t>[3</w:t>
      </w:r>
      <w:r w:rsidRPr="009C697D">
        <w:rPr>
          <w:rFonts w:ascii="Times New Roman" w:hAnsi="Times New Roman" w:cs="Times New Roman"/>
          <w:sz w:val="28"/>
          <w:szCs w:val="28"/>
        </w:rPr>
        <w:t>. Para. 36]</w:t>
      </w:r>
      <w:r w:rsidR="00E11DD9" w:rsidRPr="009C697D">
        <w:rPr>
          <w:rFonts w:ascii="Times New Roman" w:hAnsi="Times New Roman" w:cs="Times New Roman"/>
          <w:sz w:val="28"/>
          <w:szCs w:val="28"/>
        </w:rPr>
        <w:t xml:space="preserve">. However, this trust is put at risk when </w:t>
      </w:r>
      <w:r w:rsidRPr="009C697D">
        <w:rPr>
          <w:rFonts w:ascii="Times New Roman" w:hAnsi="Times New Roman" w:cs="Times New Roman"/>
          <w:sz w:val="28"/>
          <w:szCs w:val="28"/>
        </w:rPr>
        <w:t xml:space="preserve">a </w:t>
      </w:r>
      <w:r w:rsidR="0067350A" w:rsidRPr="009C697D">
        <w:rPr>
          <w:rFonts w:ascii="Times New Roman" w:hAnsi="Times New Roman" w:cs="Times New Roman"/>
          <w:sz w:val="28"/>
          <w:szCs w:val="28"/>
        </w:rPr>
        <w:t>Member S</w:t>
      </w:r>
      <w:r w:rsidRPr="009C697D">
        <w:rPr>
          <w:rFonts w:ascii="Times New Roman" w:hAnsi="Times New Roman" w:cs="Times New Roman"/>
          <w:sz w:val="28"/>
          <w:szCs w:val="28"/>
        </w:rPr>
        <w:t>tate (</w:t>
      </w:r>
      <w:r w:rsidR="0067350A" w:rsidRPr="009C697D">
        <w:rPr>
          <w:rFonts w:ascii="Times New Roman" w:hAnsi="Times New Roman" w:cs="Times New Roman"/>
          <w:sz w:val="28"/>
          <w:szCs w:val="28"/>
        </w:rPr>
        <w:t>which issues an EAW</w:t>
      </w:r>
      <w:r w:rsidRPr="009C697D">
        <w:rPr>
          <w:rFonts w:ascii="Times New Roman" w:hAnsi="Times New Roman" w:cs="Times New Roman"/>
          <w:sz w:val="28"/>
          <w:szCs w:val="28"/>
        </w:rPr>
        <w:t>)</w:t>
      </w:r>
      <w:r w:rsidR="0067350A" w:rsidRPr="009C697D">
        <w:rPr>
          <w:rFonts w:ascii="Times New Roman" w:hAnsi="Times New Roman" w:cs="Times New Roman"/>
          <w:sz w:val="28"/>
          <w:szCs w:val="28"/>
        </w:rPr>
        <w:t xml:space="preserve"> </w:t>
      </w:r>
      <w:r w:rsidRPr="009C697D">
        <w:rPr>
          <w:rFonts w:ascii="Times New Roman" w:hAnsi="Times New Roman" w:cs="Times New Roman"/>
          <w:sz w:val="28"/>
          <w:szCs w:val="28"/>
        </w:rPr>
        <w:t>breach</w:t>
      </w:r>
      <w:r w:rsidR="009F3896" w:rsidRPr="009C697D">
        <w:rPr>
          <w:rFonts w:ascii="Times New Roman" w:hAnsi="Times New Roman" w:cs="Times New Roman"/>
          <w:sz w:val="28"/>
          <w:szCs w:val="28"/>
        </w:rPr>
        <w:t>es</w:t>
      </w:r>
      <w:r w:rsidR="00E11DD9" w:rsidRPr="009C697D">
        <w:rPr>
          <w:rFonts w:ascii="Times New Roman" w:hAnsi="Times New Roman" w:cs="Times New Roman"/>
          <w:sz w:val="28"/>
          <w:szCs w:val="28"/>
        </w:rPr>
        <w:t xml:space="preserve"> the values </w:t>
      </w:r>
      <w:r w:rsidR="0067350A" w:rsidRPr="009C697D">
        <w:rPr>
          <w:rFonts w:ascii="Times New Roman" w:hAnsi="Times New Roman" w:cs="Times New Roman"/>
          <w:sz w:val="28"/>
          <w:szCs w:val="28"/>
        </w:rPr>
        <w:t>enshrined</w:t>
      </w:r>
      <w:r w:rsidR="00E11DD9" w:rsidRPr="009C697D">
        <w:rPr>
          <w:rFonts w:ascii="Times New Roman" w:hAnsi="Times New Roman" w:cs="Times New Roman"/>
          <w:sz w:val="28"/>
          <w:szCs w:val="28"/>
        </w:rPr>
        <w:t xml:space="preserve"> in </w:t>
      </w:r>
      <w:r w:rsidR="009F3896" w:rsidRPr="009C697D">
        <w:rPr>
          <w:rFonts w:ascii="Times New Roman" w:hAnsi="Times New Roman" w:cs="Times New Roman"/>
          <w:sz w:val="28"/>
          <w:szCs w:val="28"/>
        </w:rPr>
        <w:t>A</w:t>
      </w:r>
      <w:r w:rsidR="00E11DD9" w:rsidRPr="009C697D">
        <w:rPr>
          <w:rFonts w:ascii="Times New Roman" w:hAnsi="Times New Roman" w:cs="Times New Roman"/>
          <w:sz w:val="28"/>
          <w:szCs w:val="28"/>
        </w:rPr>
        <w:t>rticle 2 TEU</w:t>
      </w:r>
      <w:r w:rsidR="009F3896" w:rsidRPr="009C697D">
        <w:rPr>
          <w:rFonts w:ascii="Times New Roman" w:hAnsi="Times New Roman" w:cs="Times New Roman"/>
          <w:sz w:val="28"/>
          <w:szCs w:val="28"/>
        </w:rPr>
        <w:t>;</w:t>
      </w:r>
      <w:r w:rsidR="00A552E1" w:rsidRPr="009C697D">
        <w:rPr>
          <w:rFonts w:ascii="Times New Roman" w:hAnsi="Times New Roman" w:cs="Times New Roman"/>
          <w:sz w:val="28"/>
          <w:szCs w:val="28"/>
        </w:rPr>
        <w:t xml:space="preserve"> thus</w:t>
      </w:r>
      <w:r w:rsidR="009F3896" w:rsidRPr="009C697D">
        <w:rPr>
          <w:rFonts w:ascii="Times New Roman" w:hAnsi="Times New Roman" w:cs="Times New Roman"/>
          <w:sz w:val="28"/>
          <w:szCs w:val="28"/>
        </w:rPr>
        <w:t>,</w:t>
      </w:r>
      <w:r w:rsidR="00A552E1" w:rsidRPr="009C697D">
        <w:rPr>
          <w:rFonts w:ascii="Times New Roman" w:hAnsi="Times New Roman" w:cs="Times New Roman"/>
          <w:sz w:val="28"/>
          <w:szCs w:val="28"/>
        </w:rPr>
        <w:t xml:space="preserve"> proceedings against that Member State </w:t>
      </w:r>
      <w:r w:rsidR="009F3896" w:rsidRPr="009C697D">
        <w:rPr>
          <w:rFonts w:ascii="Times New Roman" w:hAnsi="Times New Roman" w:cs="Times New Roman"/>
          <w:sz w:val="28"/>
          <w:szCs w:val="28"/>
        </w:rPr>
        <w:t>would be initiated</w:t>
      </w:r>
      <w:r w:rsidR="00A552E1" w:rsidRPr="009C697D">
        <w:rPr>
          <w:rFonts w:ascii="Times New Roman" w:hAnsi="Times New Roman" w:cs="Times New Roman"/>
          <w:sz w:val="28"/>
          <w:szCs w:val="28"/>
        </w:rPr>
        <w:t xml:space="preserve"> under </w:t>
      </w:r>
      <w:r w:rsidR="009F3896" w:rsidRPr="009C697D">
        <w:rPr>
          <w:rFonts w:ascii="Times New Roman" w:hAnsi="Times New Roman" w:cs="Times New Roman"/>
          <w:sz w:val="28"/>
          <w:szCs w:val="28"/>
        </w:rPr>
        <w:t>A</w:t>
      </w:r>
      <w:r w:rsidR="00A552E1" w:rsidRPr="009C697D">
        <w:rPr>
          <w:rFonts w:ascii="Times New Roman" w:hAnsi="Times New Roman" w:cs="Times New Roman"/>
          <w:sz w:val="28"/>
          <w:szCs w:val="28"/>
        </w:rPr>
        <w:t>rticle 7 TEU</w:t>
      </w:r>
      <w:r w:rsidRPr="009C697D">
        <w:rPr>
          <w:rFonts w:ascii="Times New Roman" w:hAnsi="Times New Roman" w:cs="Times New Roman"/>
          <w:sz w:val="28"/>
          <w:szCs w:val="28"/>
        </w:rPr>
        <w:t>.</w:t>
      </w:r>
      <w:r w:rsidR="00E11DD9" w:rsidRPr="009C697D">
        <w:rPr>
          <w:rFonts w:ascii="Times New Roman" w:hAnsi="Times New Roman" w:cs="Times New Roman"/>
          <w:sz w:val="28"/>
          <w:szCs w:val="28"/>
        </w:rPr>
        <w:t xml:space="preserve"> </w:t>
      </w:r>
      <w:r w:rsidRPr="009C697D">
        <w:rPr>
          <w:rFonts w:ascii="Times New Roman" w:hAnsi="Times New Roman" w:cs="Times New Roman"/>
          <w:sz w:val="28"/>
          <w:szCs w:val="28"/>
        </w:rPr>
        <w:t>Consequently,</w:t>
      </w:r>
      <w:r w:rsidR="00E11DD9" w:rsidRPr="009C697D">
        <w:rPr>
          <w:rFonts w:ascii="Times New Roman" w:hAnsi="Times New Roman" w:cs="Times New Roman"/>
          <w:sz w:val="28"/>
          <w:szCs w:val="28"/>
        </w:rPr>
        <w:t xml:space="preserve"> there would be a risk that a right to fair trial would not be</w:t>
      </w:r>
      <w:r w:rsidR="00E55052" w:rsidRPr="009C697D">
        <w:rPr>
          <w:rFonts w:ascii="Times New Roman" w:hAnsi="Times New Roman" w:cs="Times New Roman"/>
          <w:sz w:val="28"/>
          <w:szCs w:val="28"/>
        </w:rPr>
        <w:t xml:space="preserve"> observed in that Member State</w:t>
      </w:r>
      <w:r w:rsidR="00A552E1" w:rsidRPr="009C697D">
        <w:rPr>
          <w:rFonts w:ascii="Times New Roman" w:hAnsi="Times New Roman" w:cs="Times New Roman"/>
          <w:sz w:val="28"/>
          <w:szCs w:val="28"/>
        </w:rPr>
        <w:t xml:space="preserve">. </w:t>
      </w:r>
      <w:r w:rsidR="00E11DD9" w:rsidRPr="009C697D">
        <w:rPr>
          <w:rFonts w:ascii="Times New Roman" w:hAnsi="Times New Roman" w:cs="Times New Roman"/>
          <w:sz w:val="28"/>
          <w:szCs w:val="28"/>
        </w:rPr>
        <w:t xml:space="preserve">In such cases the executing judicial authority may refrain to execute an EAW </w:t>
      </w:r>
      <w:r w:rsidR="00A552E1" w:rsidRPr="009C697D">
        <w:rPr>
          <w:rFonts w:ascii="Times New Roman" w:hAnsi="Times New Roman" w:cs="Times New Roman"/>
          <w:sz w:val="28"/>
          <w:szCs w:val="28"/>
        </w:rPr>
        <w:t>[</w:t>
      </w:r>
      <w:r w:rsidR="00E55052" w:rsidRPr="009C697D">
        <w:rPr>
          <w:rFonts w:ascii="Times New Roman" w:hAnsi="Times New Roman" w:cs="Times New Roman"/>
          <w:sz w:val="28"/>
          <w:szCs w:val="28"/>
        </w:rPr>
        <w:t>3</w:t>
      </w:r>
      <w:r w:rsidR="00A552E1" w:rsidRPr="009C697D">
        <w:rPr>
          <w:rFonts w:ascii="Times New Roman" w:hAnsi="Times New Roman" w:cs="Times New Roman"/>
          <w:sz w:val="28"/>
          <w:szCs w:val="28"/>
        </w:rPr>
        <w:t xml:space="preserve">. Para. </w:t>
      </w:r>
      <w:r w:rsidR="00E55052" w:rsidRPr="009C697D">
        <w:rPr>
          <w:rFonts w:ascii="Times New Roman" w:hAnsi="Times New Roman" w:cs="Times New Roman"/>
          <w:sz w:val="28"/>
          <w:szCs w:val="28"/>
        </w:rPr>
        <w:t xml:space="preserve">72, </w:t>
      </w:r>
      <w:r w:rsidR="00A552E1" w:rsidRPr="009C697D">
        <w:rPr>
          <w:rFonts w:ascii="Times New Roman" w:hAnsi="Times New Roman" w:cs="Times New Roman"/>
          <w:sz w:val="28"/>
          <w:szCs w:val="28"/>
        </w:rPr>
        <w:t>73]</w:t>
      </w:r>
      <w:r w:rsidR="0067350A" w:rsidRPr="009C697D">
        <w:rPr>
          <w:rFonts w:ascii="Times New Roman" w:hAnsi="Times New Roman" w:cs="Times New Roman"/>
          <w:sz w:val="28"/>
          <w:szCs w:val="28"/>
        </w:rPr>
        <w:t>.</w:t>
      </w:r>
    </w:p>
    <w:p w14:paraId="165A611C" w14:textId="77777777" w:rsidR="00551E68" w:rsidRPr="009C697D" w:rsidRDefault="00551E68" w:rsidP="00A552E1">
      <w:pPr>
        <w:spacing w:line="360" w:lineRule="auto"/>
        <w:ind w:firstLine="567"/>
        <w:jc w:val="both"/>
        <w:rPr>
          <w:rFonts w:ascii="Times New Roman" w:hAnsi="Times New Roman" w:cs="Times New Roman"/>
          <w:sz w:val="28"/>
          <w:szCs w:val="28"/>
        </w:rPr>
      </w:pPr>
      <w:r w:rsidRPr="009C697D">
        <w:rPr>
          <w:rFonts w:ascii="Times New Roman" w:hAnsi="Times New Roman" w:cs="Times New Roman"/>
          <w:sz w:val="28"/>
          <w:szCs w:val="28"/>
        </w:rPr>
        <w:t>Hence, it is important to remember that FD EAW is only a legal act of EU secondary law, meaning the EU primary law and human rights must be respected in its application.</w:t>
      </w:r>
    </w:p>
    <w:p w14:paraId="244C2EDD" w14:textId="6571173A" w:rsidR="000708A2" w:rsidRPr="009C697D" w:rsidRDefault="000708A2" w:rsidP="00551E68">
      <w:pPr>
        <w:spacing w:line="360" w:lineRule="auto"/>
        <w:ind w:firstLine="567"/>
        <w:jc w:val="both"/>
        <w:rPr>
          <w:rFonts w:ascii="Times New Roman" w:hAnsi="Times New Roman" w:cs="Times New Roman"/>
          <w:bCs/>
          <w:sz w:val="28"/>
          <w:szCs w:val="28"/>
          <w:shd w:val="clear" w:color="auto" w:fill="FFFFFF"/>
        </w:rPr>
      </w:pPr>
      <w:r w:rsidRPr="009C697D">
        <w:rPr>
          <w:rFonts w:ascii="Times New Roman" w:hAnsi="Times New Roman" w:cs="Times New Roman"/>
          <w:bCs/>
          <w:sz w:val="28"/>
          <w:szCs w:val="28"/>
          <w:shd w:val="clear" w:color="auto" w:fill="FFFFFF"/>
        </w:rPr>
        <w:lastRenderedPageBreak/>
        <w:t xml:space="preserve">In conclusion, </w:t>
      </w:r>
      <w:r w:rsidR="00551E68" w:rsidRPr="009C697D">
        <w:rPr>
          <w:rFonts w:ascii="Times New Roman" w:hAnsi="Times New Roman" w:cs="Times New Roman"/>
          <w:bCs/>
          <w:sz w:val="28"/>
          <w:szCs w:val="28"/>
          <w:shd w:val="clear" w:color="auto" w:fill="FFFFFF"/>
        </w:rPr>
        <w:t xml:space="preserve">despite no further FDs will be enacted on the EU level, they still form an important part of EU law currently in force. FDs </w:t>
      </w:r>
      <w:r w:rsidR="00A552E1" w:rsidRPr="009C697D">
        <w:rPr>
          <w:rFonts w:ascii="Times New Roman" w:hAnsi="Times New Roman" w:cs="Times New Roman"/>
          <w:bCs/>
          <w:sz w:val="28"/>
          <w:szCs w:val="28"/>
          <w:shd w:val="clear" w:color="auto" w:fill="FFFFFF"/>
        </w:rPr>
        <w:t>p</w:t>
      </w:r>
      <w:r w:rsidR="00F25476" w:rsidRPr="009C697D">
        <w:rPr>
          <w:rFonts w:ascii="Times New Roman" w:hAnsi="Times New Roman" w:cs="Times New Roman"/>
          <w:bCs/>
          <w:sz w:val="28"/>
          <w:szCs w:val="28"/>
          <w:shd w:val="clear" w:color="auto" w:fill="FFFFFF"/>
        </w:rPr>
        <w:t>rovision</w:t>
      </w:r>
      <w:r w:rsidR="00A552E1" w:rsidRPr="009C697D">
        <w:rPr>
          <w:rFonts w:ascii="Times New Roman" w:hAnsi="Times New Roman" w:cs="Times New Roman"/>
          <w:bCs/>
          <w:sz w:val="28"/>
          <w:szCs w:val="28"/>
          <w:shd w:val="clear" w:color="auto" w:fill="FFFFFF"/>
        </w:rPr>
        <w:t>s</w:t>
      </w:r>
      <w:r w:rsidR="00F25476" w:rsidRPr="009C697D">
        <w:rPr>
          <w:rFonts w:ascii="Times New Roman" w:hAnsi="Times New Roman" w:cs="Times New Roman"/>
          <w:bCs/>
          <w:sz w:val="28"/>
          <w:szCs w:val="28"/>
          <w:shd w:val="clear" w:color="auto" w:fill="FFFFFF"/>
        </w:rPr>
        <w:t xml:space="preserve"> </w:t>
      </w:r>
      <w:r w:rsidR="00A552E1" w:rsidRPr="009C697D">
        <w:rPr>
          <w:rFonts w:ascii="Times New Roman" w:hAnsi="Times New Roman" w:cs="Times New Roman"/>
          <w:bCs/>
          <w:sz w:val="28"/>
          <w:szCs w:val="28"/>
          <w:shd w:val="clear" w:color="auto" w:fill="FFFFFF"/>
        </w:rPr>
        <w:t xml:space="preserve">cannot be used </w:t>
      </w:r>
      <w:r w:rsidR="00F25476" w:rsidRPr="009C697D">
        <w:rPr>
          <w:rFonts w:ascii="Times New Roman" w:hAnsi="Times New Roman" w:cs="Times New Roman"/>
          <w:bCs/>
          <w:sz w:val="28"/>
          <w:szCs w:val="28"/>
          <w:shd w:val="clear" w:color="auto" w:fill="FFFFFF"/>
        </w:rPr>
        <w:t xml:space="preserve">as a directly applicable legal basis. </w:t>
      </w:r>
      <w:r w:rsidR="00A552E1" w:rsidRPr="009C697D">
        <w:rPr>
          <w:rFonts w:ascii="Times New Roman" w:hAnsi="Times New Roman" w:cs="Times New Roman"/>
          <w:bCs/>
          <w:sz w:val="28"/>
          <w:szCs w:val="28"/>
          <w:shd w:val="clear" w:color="auto" w:fill="FFFFFF"/>
        </w:rPr>
        <w:t xml:space="preserve">They </w:t>
      </w:r>
      <w:r w:rsidR="00551E68" w:rsidRPr="009C697D">
        <w:rPr>
          <w:rFonts w:ascii="Times New Roman" w:hAnsi="Times New Roman" w:cs="Times New Roman"/>
          <w:bCs/>
          <w:sz w:val="28"/>
          <w:szCs w:val="28"/>
          <w:shd w:val="clear" w:color="auto" w:fill="FFFFFF"/>
        </w:rPr>
        <w:t xml:space="preserve">only entail </w:t>
      </w:r>
      <w:r w:rsidR="00A552E1" w:rsidRPr="009C697D">
        <w:rPr>
          <w:rFonts w:ascii="Times New Roman" w:hAnsi="Times New Roman" w:cs="Times New Roman"/>
          <w:bCs/>
          <w:sz w:val="28"/>
          <w:szCs w:val="28"/>
          <w:shd w:val="clear" w:color="auto" w:fill="FFFFFF"/>
        </w:rPr>
        <w:t>indirect effect</w:t>
      </w:r>
      <w:r w:rsidR="00551E68" w:rsidRPr="009C697D">
        <w:rPr>
          <w:rFonts w:ascii="Times New Roman" w:hAnsi="Times New Roman" w:cs="Times New Roman"/>
          <w:bCs/>
          <w:sz w:val="28"/>
          <w:szCs w:val="28"/>
          <w:shd w:val="clear" w:color="auto" w:fill="FFFFFF"/>
        </w:rPr>
        <w:t xml:space="preserve"> -</w:t>
      </w:r>
      <w:r w:rsidR="00A552E1" w:rsidRPr="009C697D">
        <w:rPr>
          <w:rFonts w:ascii="Times New Roman" w:hAnsi="Times New Roman" w:cs="Times New Roman"/>
          <w:bCs/>
          <w:sz w:val="28"/>
          <w:szCs w:val="28"/>
          <w:shd w:val="clear" w:color="auto" w:fill="FFFFFF"/>
        </w:rPr>
        <w:t xml:space="preserve"> guiding the interpretation of relevant national law. </w:t>
      </w:r>
      <w:r w:rsidRPr="009C697D">
        <w:rPr>
          <w:rFonts w:ascii="Times New Roman" w:hAnsi="Times New Roman" w:cs="Times New Roman"/>
          <w:bCs/>
          <w:sz w:val="28"/>
          <w:szCs w:val="28"/>
          <w:shd w:val="clear" w:color="auto" w:fill="FFFFFF"/>
        </w:rPr>
        <w:t xml:space="preserve">Moreover, </w:t>
      </w:r>
      <w:r w:rsidR="00E11DD9" w:rsidRPr="009C697D">
        <w:rPr>
          <w:rFonts w:ascii="Times New Roman" w:hAnsi="Times New Roman" w:cs="Times New Roman"/>
          <w:bCs/>
          <w:sz w:val="28"/>
          <w:szCs w:val="28"/>
          <w:shd w:val="clear" w:color="auto" w:fill="FFFFFF"/>
        </w:rPr>
        <w:t>fundamental human rights</w:t>
      </w:r>
      <w:r w:rsidR="00F25476" w:rsidRPr="009C697D">
        <w:rPr>
          <w:rFonts w:ascii="Times New Roman" w:hAnsi="Times New Roman" w:cs="Times New Roman"/>
          <w:bCs/>
          <w:sz w:val="28"/>
          <w:szCs w:val="28"/>
          <w:shd w:val="clear" w:color="auto" w:fill="FFFFFF"/>
        </w:rPr>
        <w:t xml:space="preserve"> and EU Primary law</w:t>
      </w:r>
      <w:r w:rsidR="00E11DD9" w:rsidRPr="009C697D">
        <w:rPr>
          <w:rFonts w:ascii="Times New Roman" w:hAnsi="Times New Roman" w:cs="Times New Roman"/>
          <w:bCs/>
          <w:sz w:val="28"/>
          <w:szCs w:val="28"/>
          <w:shd w:val="clear" w:color="auto" w:fill="FFFFFF"/>
        </w:rPr>
        <w:t xml:space="preserve"> are the red line in applying the FD EAW </w:t>
      </w:r>
      <w:r w:rsidR="0006242A" w:rsidRPr="009C697D">
        <w:rPr>
          <w:rFonts w:ascii="Times New Roman" w:hAnsi="Times New Roman" w:cs="Times New Roman"/>
          <w:bCs/>
          <w:sz w:val="28"/>
          <w:szCs w:val="28"/>
          <w:shd w:val="clear" w:color="auto" w:fill="FFFFFF"/>
        </w:rPr>
        <w:t xml:space="preserve">provisions. </w:t>
      </w:r>
      <w:r w:rsidR="00F25476" w:rsidRPr="009C697D">
        <w:rPr>
          <w:rFonts w:ascii="Times New Roman" w:hAnsi="Times New Roman" w:cs="Times New Roman"/>
          <w:bCs/>
          <w:sz w:val="28"/>
          <w:szCs w:val="28"/>
          <w:shd w:val="clear" w:color="auto" w:fill="FFFFFF"/>
        </w:rPr>
        <w:t xml:space="preserve">Thus, the mutual recognition effects of </w:t>
      </w:r>
      <w:r w:rsidR="00B02F86" w:rsidRPr="009C697D">
        <w:rPr>
          <w:rFonts w:ascii="Times New Roman" w:hAnsi="Times New Roman" w:cs="Times New Roman"/>
          <w:bCs/>
          <w:sz w:val="28"/>
          <w:szCs w:val="28"/>
          <w:shd w:val="clear" w:color="auto" w:fill="FFFFFF"/>
        </w:rPr>
        <w:t>FDs in the field of criminal matters</w:t>
      </w:r>
      <w:r w:rsidR="00F25476" w:rsidRPr="009C697D">
        <w:rPr>
          <w:rFonts w:ascii="Times New Roman" w:hAnsi="Times New Roman" w:cs="Times New Roman"/>
          <w:bCs/>
          <w:sz w:val="28"/>
          <w:szCs w:val="28"/>
          <w:shd w:val="clear" w:color="auto" w:fill="FFFFFF"/>
        </w:rPr>
        <w:t xml:space="preserve"> could be limited by the abov</w:t>
      </w:r>
      <w:r w:rsidR="00B35745" w:rsidRPr="009C697D">
        <w:rPr>
          <w:rFonts w:ascii="Times New Roman" w:hAnsi="Times New Roman" w:cs="Times New Roman"/>
          <w:bCs/>
          <w:sz w:val="28"/>
          <w:szCs w:val="28"/>
          <w:shd w:val="clear" w:color="auto" w:fill="FFFFFF"/>
        </w:rPr>
        <w:t>e-</w:t>
      </w:r>
      <w:r w:rsidR="00F25476" w:rsidRPr="009C697D">
        <w:rPr>
          <w:rFonts w:ascii="Times New Roman" w:hAnsi="Times New Roman" w:cs="Times New Roman"/>
          <w:bCs/>
          <w:sz w:val="28"/>
          <w:szCs w:val="28"/>
          <w:shd w:val="clear" w:color="auto" w:fill="FFFFFF"/>
        </w:rPr>
        <w:t>mentioned factors.</w:t>
      </w:r>
    </w:p>
    <w:p w14:paraId="19AE96E6"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proofErr w:type="spellStart"/>
      <w:r w:rsidRPr="009C697D">
        <w:rPr>
          <w:rFonts w:ascii="Times New Roman" w:eastAsia="Arial Unicode MS" w:hAnsi="Times New Roman" w:cs="Times New Roman"/>
          <w:sz w:val="28"/>
          <w:szCs w:val="28"/>
          <w:shd w:val="clear" w:color="auto" w:fill="FFFFFF"/>
        </w:rPr>
        <w:t>Ballegooij</w:t>
      </w:r>
      <w:proofErr w:type="spellEnd"/>
      <w:r w:rsidRPr="009C697D">
        <w:rPr>
          <w:rFonts w:ascii="Times New Roman" w:eastAsia="Arial Unicode MS" w:hAnsi="Times New Roman" w:cs="Times New Roman"/>
          <w:sz w:val="28"/>
          <w:szCs w:val="28"/>
          <w:shd w:val="clear" w:color="auto" w:fill="FFFFFF"/>
        </w:rPr>
        <w:t xml:space="preserve">, </w:t>
      </w:r>
      <w:proofErr w:type="spellStart"/>
      <w:r w:rsidRPr="009C697D">
        <w:rPr>
          <w:rFonts w:ascii="Times New Roman" w:eastAsia="Arial Unicode MS" w:hAnsi="Times New Roman" w:cs="Times New Roman"/>
          <w:sz w:val="28"/>
          <w:szCs w:val="28"/>
          <w:shd w:val="clear" w:color="auto" w:fill="FFFFFF"/>
        </w:rPr>
        <w:t>Wouter</w:t>
      </w:r>
      <w:proofErr w:type="spellEnd"/>
      <w:r w:rsidRPr="009C697D">
        <w:rPr>
          <w:rFonts w:ascii="Times New Roman" w:eastAsia="Arial Unicode MS" w:hAnsi="Times New Roman" w:cs="Times New Roman"/>
          <w:sz w:val="28"/>
          <w:szCs w:val="28"/>
          <w:shd w:val="clear" w:color="auto" w:fill="FFFFFF"/>
        </w:rPr>
        <w:t xml:space="preserve"> Van, and Petra </w:t>
      </w:r>
      <w:proofErr w:type="spellStart"/>
      <w:r w:rsidRPr="009C697D">
        <w:rPr>
          <w:rFonts w:ascii="Times New Roman" w:eastAsia="Arial Unicode MS" w:hAnsi="Times New Roman" w:cs="Times New Roman"/>
          <w:sz w:val="28"/>
          <w:szCs w:val="28"/>
          <w:shd w:val="clear" w:color="auto" w:fill="FFFFFF"/>
        </w:rPr>
        <w:t>Bárd</w:t>
      </w:r>
      <w:proofErr w:type="spellEnd"/>
      <w:r w:rsidRPr="009C697D">
        <w:rPr>
          <w:rFonts w:ascii="Times New Roman" w:eastAsia="Arial Unicode MS" w:hAnsi="Times New Roman" w:cs="Times New Roman"/>
          <w:sz w:val="28"/>
          <w:szCs w:val="28"/>
          <w:shd w:val="clear" w:color="auto" w:fill="FFFFFF"/>
        </w:rPr>
        <w:t>. "</w:t>
      </w:r>
      <w:r w:rsidRPr="009C697D">
        <w:rPr>
          <w:rFonts w:ascii="Times New Roman" w:eastAsia="Arial Unicode MS" w:hAnsi="Times New Roman" w:cs="Times New Roman"/>
          <w:i/>
          <w:sz w:val="28"/>
          <w:szCs w:val="28"/>
          <w:shd w:val="clear" w:color="auto" w:fill="FFFFFF"/>
        </w:rPr>
        <w:t>Mutual Recognition and Individual Rights</w:t>
      </w:r>
      <w:r w:rsidRPr="009C697D">
        <w:rPr>
          <w:rFonts w:ascii="Times New Roman" w:eastAsia="Arial Unicode MS" w:hAnsi="Times New Roman" w:cs="Times New Roman"/>
          <w:sz w:val="28"/>
          <w:szCs w:val="28"/>
          <w:shd w:val="clear" w:color="auto" w:fill="FFFFFF"/>
        </w:rPr>
        <w:t>." New Journal of European Criminal Law 7, no. 4 (2016): 439-474.</w:t>
      </w:r>
    </w:p>
    <w:p w14:paraId="59DFBB63"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 xml:space="preserve">Case C-105/03 – </w:t>
      </w:r>
      <w:proofErr w:type="spellStart"/>
      <w:r w:rsidRPr="009C697D">
        <w:rPr>
          <w:rFonts w:ascii="Times New Roman" w:hAnsi="Times New Roman" w:cs="Times New Roman"/>
          <w:i/>
          <w:sz w:val="28"/>
          <w:szCs w:val="28"/>
          <w:lang w:val="en-US"/>
        </w:rPr>
        <w:t>Pupino</w:t>
      </w:r>
      <w:proofErr w:type="spellEnd"/>
      <w:r w:rsidRPr="009C697D">
        <w:rPr>
          <w:rFonts w:ascii="Times New Roman" w:hAnsi="Times New Roman" w:cs="Times New Roman"/>
          <w:i/>
          <w:sz w:val="28"/>
          <w:szCs w:val="28"/>
          <w:lang w:val="en-US"/>
        </w:rPr>
        <w:t xml:space="preserve">, </w:t>
      </w:r>
      <w:r w:rsidRPr="009C697D">
        <w:rPr>
          <w:rFonts w:ascii="Times New Roman" w:hAnsi="Times New Roman" w:cs="Times New Roman"/>
          <w:sz w:val="28"/>
          <w:szCs w:val="28"/>
          <w:lang w:val="en-US"/>
        </w:rPr>
        <w:t>Judgment of the Court (Grand Chamber) of 16 June 2005, ECLI:EU:C:2005:386.</w:t>
      </w:r>
    </w:p>
    <w:p w14:paraId="7724A9E4"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rPr>
        <w:t xml:space="preserve">Case C-216/18 PPU – </w:t>
      </w:r>
      <w:r w:rsidRPr="009C697D">
        <w:rPr>
          <w:rFonts w:ascii="Times New Roman" w:hAnsi="Times New Roman" w:cs="Times New Roman"/>
          <w:i/>
          <w:sz w:val="28"/>
          <w:szCs w:val="28"/>
        </w:rPr>
        <w:t>LM</w:t>
      </w:r>
      <w:r w:rsidRPr="009C697D">
        <w:rPr>
          <w:rFonts w:ascii="Times New Roman" w:hAnsi="Times New Roman" w:cs="Times New Roman"/>
          <w:sz w:val="28"/>
          <w:szCs w:val="28"/>
        </w:rPr>
        <w:t>, Judgment of the Court (Grand Chamber) of 25 July 2018, ECLI:EU:C:2018:586.</w:t>
      </w:r>
    </w:p>
    <w:p w14:paraId="5496835E"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 xml:space="preserve">Council Framework Decision of 13 June 2002 on the European arrest warrant and the surrender procedures between Member States - Statements made by certain Member States on the adoption of the Framework Decision (2002/584/JHA). Official Journal L </w:t>
      </w:r>
      <w:proofErr w:type="gramStart"/>
      <w:r w:rsidRPr="009C697D">
        <w:rPr>
          <w:rFonts w:ascii="Times New Roman" w:hAnsi="Times New Roman" w:cs="Times New Roman"/>
          <w:sz w:val="28"/>
          <w:szCs w:val="28"/>
          <w:lang w:val="en-US"/>
        </w:rPr>
        <w:t>190 ,</w:t>
      </w:r>
      <w:proofErr w:type="gramEnd"/>
      <w:r w:rsidRPr="009C697D">
        <w:rPr>
          <w:rFonts w:ascii="Times New Roman" w:hAnsi="Times New Roman" w:cs="Times New Roman"/>
          <w:sz w:val="28"/>
          <w:szCs w:val="28"/>
          <w:lang w:val="en-US"/>
        </w:rPr>
        <w:t xml:space="preserve"> 18/07/2002 P. 1 </w:t>
      </w:r>
      <w:r w:rsidR="00B02F86" w:rsidRPr="009C697D">
        <w:rPr>
          <w:rFonts w:ascii="Times New Roman" w:hAnsi="Times New Roman" w:cs="Times New Roman"/>
          <w:sz w:val="28"/>
          <w:szCs w:val="28"/>
          <w:lang w:val="en-US"/>
        </w:rPr>
        <w:t>–</w:t>
      </w:r>
      <w:r w:rsidRPr="009C697D">
        <w:rPr>
          <w:rFonts w:ascii="Times New Roman" w:hAnsi="Times New Roman" w:cs="Times New Roman"/>
          <w:sz w:val="28"/>
          <w:szCs w:val="28"/>
          <w:lang w:val="en-US"/>
        </w:rPr>
        <w:t xml:space="preserve"> 20</w:t>
      </w:r>
      <w:r w:rsidR="00B02F86" w:rsidRPr="009C697D">
        <w:rPr>
          <w:rFonts w:ascii="Times New Roman" w:hAnsi="Times New Roman" w:cs="Times New Roman"/>
          <w:sz w:val="28"/>
          <w:szCs w:val="28"/>
          <w:lang w:val="en-US"/>
        </w:rPr>
        <w:t>.</w:t>
      </w:r>
    </w:p>
    <w:p w14:paraId="2D3A8A96"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proofErr w:type="spellStart"/>
      <w:r w:rsidRPr="009C697D">
        <w:rPr>
          <w:rFonts w:ascii="Times New Roman" w:hAnsi="Times New Roman" w:cs="Times New Roman"/>
          <w:sz w:val="28"/>
          <w:szCs w:val="28"/>
        </w:rPr>
        <w:t>Herlin-Karnell</w:t>
      </w:r>
      <w:proofErr w:type="spellEnd"/>
      <w:r w:rsidRPr="009C697D">
        <w:rPr>
          <w:rFonts w:ascii="Times New Roman" w:hAnsi="Times New Roman" w:cs="Times New Roman"/>
          <w:sz w:val="28"/>
          <w:szCs w:val="28"/>
        </w:rPr>
        <w:t>, Ester. </w:t>
      </w:r>
      <w:r w:rsidRPr="009C697D">
        <w:rPr>
          <w:rFonts w:ascii="Times New Roman" w:hAnsi="Times New Roman" w:cs="Times New Roman"/>
          <w:i/>
          <w:iCs/>
          <w:sz w:val="28"/>
          <w:szCs w:val="28"/>
        </w:rPr>
        <w:t>The Constitutional Dimension of European Criminal Law</w:t>
      </w:r>
      <w:r w:rsidRPr="009C697D">
        <w:rPr>
          <w:rFonts w:ascii="Times New Roman" w:hAnsi="Times New Roman" w:cs="Times New Roman"/>
          <w:sz w:val="28"/>
          <w:szCs w:val="28"/>
        </w:rPr>
        <w:t>. Oxford: Hart, 2012.</w:t>
      </w:r>
    </w:p>
    <w:p w14:paraId="39E36360"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rPr>
        <w:t xml:space="preserve">Joined Cases C-404/15 and C-659/15 PPU - </w:t>
      </w:r>
      <w:proofErr w:type="spellStart"/>
      <w:r w:rsidRPr="009C697D">
        <w:rPr>
          <w:rFonts w:ascii="Times New Roman" w:hAnsi="Times New Roman" w:cs="Times New Roman"/>
          <w:i/>
          <w:sz w:val="28"/>
          <w:szCs w:val="28"/>
        </w:rPr>
        <w:t>Pál</w:t>
      </w:r>
      <w:proofErr w:type="spellEnd"/>
      <w:r w:rsidRPr="009C697D">
        <w:rPr>
          <w:rFonts w:ascii="Times New Roman" w:hAnsi="Times New Roman" w:cs="Times New Roman"/>
          <w:i/>
          <w:sz w:val="28"/>
          <w:szCs w:val="28"/>
        </w:rPr>
        <w:t xml:space="preserve"> </w:t>
      </w:r>
      <w:proofErr w:type="spellStart"/>
      <w:r w:rsidRPr="009C697D">
        <w:rPr>
          <w:rFonts w:ascii="Times New Roman" w:hAnsi="Times New Roman" w:cs="Times New Roman"/>
          <w:i/>
          <w:sz w:val="28"/>
          <w:szCs w:val="28"/>
        </w:rPr>
        <w:t>Aranyosi</w:t>
      </w:r>
      <w:proofErr w:type="spellEnd"/>
      <w:r w:rsidRPr="009C697D">
        <w:rPr>
          <w:rFonts w:ascii="Times New Roman" w:hAnsi="Times New Roman" w:cs="Times New Roman"/>
          <w:i/>
          <w:sz w:val="28"/>
          <w:szCs w:val="28"/>
        </w:rPr>
        <w:t xml:space="preserve"> and Robert </w:t>
      </w:r>
      <w:proofErr w:type="spellStart"/>
      <w:r w:rsidRPr="009C697D">
        <w:rPr>
          <w:rFonts w:ascii="Times New Roman" w:hAnsi="Times New Roman" w:cs="Times New Roman"/>
          <w:i/>
          <w:sz w:val="28"/>
          <w:szCs w:val="28"/>
        </w:rPr>
        <w:t>Căldăraru</w:t>
      </w:r>
      <w:proofErr w:type="spellEnd"/>
      <w:r w:rsidRPr="009C697D">
        <w:rPr>
          <w:rFonts w:ascii="Times New Roman" w:hAnsi="Times New Roman" w:cs="Times New Roman"/>
          <w:i/>
          <w:sz w:val="28"/>
          <w:szCs w:val="28"/>
        </w:rPr>
        <w:t xml:space="preserve"> v </w:t>
      </w:r>
      <w:proofErr w:type="spellStart"/>
      <w:r w:rsidRPr="009C697D">
        <w:rPr>
          <w:rFonts w:ascii="Times New Roman" w:hAnsi="Times New Roman" w:cs="Times New Roman"/>
          <w:i/>
          <w:sz w:val="28"/>
          <w:szCs w:val="28"/>
        </w:rPr>
        <w:t>Generalstaatsanwaltschaft</w:t>
      </w:r>
      <w:proofErr w:type="spellEnd"/>
      <w:r w:rsidRPr="009C697D">
        <w:rPr>
          <w:rFonts w:ascii="Times New Roman" w:hAnsi="Times New Roman" w:cs="Times New Roman"/>
          <w:i/>
          <w:sz w:val="28"/>
          <w:szCs w:val="28"/>
        </w:rPr>
        <w:t xml:space="preserve"> Bremen, </w:t>
      </w:r>
      <w:r w:rsidRPr="009C697D">
        <w:rPr>
          <w:rFonts w:ascii="Times New Roman" w:hAnsi="Times New Roman" w:cs="Times New Roman"/>
          <w:sz w:val="28"/>
          <w:szCs w:val="28"/>
        </w:rPr>
        <w:t>Judgment of the Court (Grand Chamber) of 5 April 2016, ECLI:EU:C:2005:386.</w:t>
      </w:r>
    </w:p>
    <w:p w14:paraId="63682D45"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eastAsia="Arial Unicode MS" w:hAnsi="Times New Roman" w:cs="Times New Roman"/>
          <w:sz w:val="28"/>
          <w:szCs w:val="28"/>
          <w:shd w:val="clear" w:color="auto" w:fill="FFFFFF"/>
        </w:rPr>
        <w:t xml:space="preserve">Klimek, Libor. </w:t>
      </w:r>
      <w:r w:rsidRPr="009C697D">
        <w:rPr>
          <w:rFonts w:ascii="Times New Roman" w:eastAsia="Arial Unicode MS" w:hAnsi="Times New Roman" w:cs="Times New Roman"/>
          <w:i/>
          <w:sz w:val="28"/>
          <w:szCs w:val="28"/>
          <w:shd w:val="clear" w:color="auto" w:fill="FFFFFF"/>
        </w:rPr>
        <w:t>Mutual Recognition of Judicial Decisions in European Criminal Law</w:t>
      </w:r>
      <w:r w:rsidRPr="009C697D">
        <w:rPr>
          <w:rFonts w:ascii="Times New Roman" w:eastAsia="Arial Unicode MS" w:hAnsi="Times New Roman" w:cs="Times New Roman"/>
          <w:sz w:val="28"/>
          <w:szCs w:val="28"/>
          <w:shd w:val="clear" w:color="auto" w:fill="FFFFFF"/>
        </w:rPr>
        <w:t>. Springer International Publishing, 2018.</w:t>
      </w:r>
    </w:p>
    <w:p w14:paraId="2E9D9047"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proofErr w:type="spellStart"/>
      <w:r w:rsidRPr="009C697D">
        <w:rPr>
          <w:rFonts w:ascii="Times New Roman" w:hAnsi="Times New Roman" w:cs="Times New Roman"/>
          <w:sz w:val="28"/>
          <w:szCs w:val="28"/>
          <w:lang w:val="en-US"/>
        </w:rPr>
        <w:t>Lorenzmeier</w:t>
      </w:r>
      <w:proofErr w:type="spellEnd"/>
      <w:r w:rsidRPr="009C697D">
        <w:rPr>
          <w:rFonts w:ascii="Times New Roman" w:hAnsi="Times New Roman" w:cs="Times New Roman"/>
          <w:sz w:val="28"/>
          <w:szCs w:val="28"/>
          <w:lang w:val="en-US"/>
        </w:rPr>
        <w:t>, Stefan. “</w:t>
      </w:r>
      <w:r w:rsidRPr="009C697D">
        <w:rPr>
          <w:rFonts w:ascii="Times New Roman" w:hAnsi="Times New Roman" w:cs="Times New Roman"/>
          <w:i/>
          <w:sz w:val="28"/>
          <w:szCs w:val="28"/>
          <w:lang w:val="en-US"/>
        </w:rPr>
        <w:t xml:space="preserve">The Legal Effect of Framework Decisions – A Case Note on the </w:t>
      </w:r>
      <w:proofErr w:type="spellStart"/>
      <w:r w:rsidRPr="009C697D">
        <w:rPr>
          <w:rFonts w:ascii="Times New Roman" w:hAnsi="Times New Roman" w:cs="Times New Roman"/>
          <w:i/>
          <w:sz w:val="28"/>
          <w:szCs w:val="28"/>
          <w:lang w:val="en-US"/>
        </w:rPr>
        <w:t>Pupino</w:t>
      </w:r>
      <w:proofErr w:type="spellEnd"/>
      <w:r w:rsidRPr="009C697D">
        <w:rPr>
          <w:rFonts w:ascii="Times New Roman" w:hAnsi="Times New Roman" w:cs="Times New Roman"/>
          <w:i/>
          <w:sz w:val="28"/>
          <w:szCs w:val="28"/>
          <w:lang w:val="en-US"/>
        </w:rPr>
        <w:t xml:space="preserve"> Decision of the European Court of Justice</w:t>
      </w:r>
      <w:r w:rsidRPr="009C697D">
        <w:rPr>
          <w:rFonts w:ascii="Times New Roman" w:hAnsi="Times New Roman" w:cs="Times New Roman"/>
          <w:sz w:val="28"/>
          <w:szCs w:val="28"/>
          <w:lang w:val="en-US"/>
        </w:rPr>
        <w:t xml:space="preserve">.” </w:t>
      </w:r>
      <w:proofErr w:type="spellStart"/>
      <w:r w:rsidRPr="009C697D">
        <w:rPr>
          <w:rFonts w:ascii="Times New Roman" w:hAnsi="Times New Roman" w:cs="Times New Roman"/>
          <w:sz w:val="28"/>
          <w:szCs w:val="28"/>
          <w:lang w:val="en-US"/>
        </w:rPr>
        <w:t>Zeitschrift</w:t>
      </w:r>
      <w:proofErr w:type="spellEnd"/>
      <w:r w:rsidRPr="009C697D">
        <w:rPr>
          <w:rFonts w:ascii="Times New Roman" w:hAnsi="Times New Roman" w:cs="Times New Roman"/>
          <w:sz w:val="28"/>
          <w:szCs w:val="28"/>
          <w:lang w:val="en-US"/>
        </w:rPr>
        <w:t xml:space="preserve"> </w:t>
      </w:r>
      <w:proofErr w:type="spellStart"/>
      <w:r w:rsidRPr="009C697D">
        <w:rPr>
          <w:rFonts w:ascii="Times New Roman" w:hAnsi="Times New Roman" w:cs="Times New Roman"/>
          <w:sz w:val="28"/>
          <w:szCs w:val="28"/>
          <w:lang w:val="en-US"/>
        </w:rPr>
        <w:t>für</w:t>
      </w:r>
      <w:proofErr w:type="spellEnd"/>
      <w:r w:rsidRPr="009C697D">
        <w:rPr>
          <w:rFonts w:ascii="Times New Roman" w:hAnsi="Times New Roman" w:cs="Times New Roman"/>
          <w:sz w:val="28"/>
          <w:szCs w:val="28"/>
          <w:lang w:val="en-US"/>
        </w:rPr>
        <w:t xml:space="preserve"> </w:t>
      </w:r>
      <w:proofErr w:type="spellStart"/>
      <w:r w:rsidRPr="009C697D">
        <w:rPr>
          <w:rFonts w:ascii="Times New Roman" w:hAnsi="Times New Roman" w:cs="Times New Roman"/>
          <w:sz w:val="28"/>
          <w:szCs w:val="28"/>
          <w:lang w:val="en-US"/>
        </w:rPr>
        <w:t>Internationale</w:t>
      </w:r>
      <w:proofErr w:type="spellEnd"/>
      <w:r w:rsidRPr="009C697D">
        <w:rPr>
          <w:rFonts w:ascii="Times New Roman" w:hAnsi="Times New Roman" w:cs="Times New Roman"/>
          <w:sz w:val="28"/>
          <w:szCs w:val="28"/>
          <w:lang w:val="en-US"/>
        </w:rPr>
        <w:t xml:space="preserve"> </w:t>
      </w:r>
      <w:proofErr w:type="spellStart"/>
      <w:r w:rsidRPr="009C697D">
        <w:rPr>
          <w:rFonts w:ascii="Times New Roman" w:hAnsi="Times New Roman" w:cs="Times New Roman"/>
          <w:sz w:val="28"/>
          <w:szCs w:val="28"/>
          <w:lang w:val="en-US"/>
        </w:rPr>
        <w:t>Strafrechtsdogmatik</w:t>
      </w:r>
      <w:proofErr w:type="spellEnd"/>
      <w:r w:rsidRPr="009C697D">
        <w:rPr>
          <w:rFonts w:ascii="Times New Roman" w:hAnsi="Times New Roman" w:cs="Times New Roman"/>
          <w:sz w:val="28"/>
          <w:szCs w:val="28"/>
          <w:lang w:val="en-US"/>
        </w:rPr>
        <w:t>, no. 12 (2006): 583-588.</w:t>
      </w:r>
    </w:p>
    <w:p w14:paraId="6DB4AFF5"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Marin, Luisa. "</w:t>
      </w:r>
      <w:r w:rsidRPr="009C697D">
        <w:rPr>
          <w:rFonts w:ascii="Times New Roman" w:hAnsi="Times New Roman" w:cs="Times New Roman"/>
          <w:i/>
          <w:sz w:val="28"/>
          <w:szCs w:val="28"/>
          <w:lang w:val="en-US"/>
        </w:rPr>
        <w:t>The European Arrest Warrant in the Italian Republic</w:t>
      </w:r>
      <w:r w:rsidRPr="009C697D">
        <w:rPr>
          <w:rFonts w:ascii="Times New Roman" w:hAnsi="Times New Roman" w:cs="Times New Roman"/>
          <w:sz w:val="28"/>
          <w:szCs w:val="28"/>
          <w:lang w:val="en-US"/>
        </w:rPr>
        <w:t>." European Constitutional Law Review 4, no. 02 (2008): 251-273.</w:t>
      </w:r>
    </w:p>
    <w:p w14:paraId="47CF44BC"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lastRenderedPageBreak/>
        <w:t xml:space="preserve"> </w:t>
      </w:r>
      <w:proofErr w:type="spellStart"/>
      <w:r w:rsidRPr="009C697D">
        <w:rPr>
          <w:rFonts w:ascii="Times New Roman" w:hAnsi="Times New Roman" w:cs="Times New Roman"/>
          <w:sz w:val="28"/>
          <w:szCs w:val="28"/>
          <w:lang w:val="en-US"/>
        </w:rPr>
        <w:t>Ostropolski</w:t>
      </w:r>
      <w:proofErr w:type="spellEnd"/>
      <w:r w:rsidRPr="009C697D">
        <w:rPr>
          <w:rFonts w:ascii="Times New Roman" w:hAnsi="Times New Roman" w:cs="Times New Roman"/>
          <w:sz w:val="28"/>
          <w:szCs w:val="28"/>
          <w:lang w:val="en-US"/>
        </w:rPr>
        <w:t>, Tomasz. "</w:t>
      </w:r>
      <w:r w:rsidRPr="009C697D">
        <w:rPr>
          <w:rFonts w:ascii="Times New Roman" w:hAnsi="Times New Roman" w:cs="Times New Roman"/>
          <w:i/>
          <w:sz w:val="28"/>
          <w:szCs w:val="28"/>
          <w:lang w:val="en-US"/>
        </w:rPr>
        <w:t>The CJEU as a Defender of Mutual Trust</w:t>
      </w:r>
      <w:r w:rsidRPr="009C697D">
        <w:rPr>
          <w:rFonts w:ascii="Times New Roman" w:hAnsi="Times New Roman" w:cs="Times New Roman"/>
          <w:sz w:val="28"/>
          <w:szCs w:val="28"/>
          <w:lang w:val="en-US"/>
        </w:rPr>
        <w:t>." New Journal of European Criminal Law 6, no. 2 (2015): 166-178.</w:t>
      </w:r>
    </w:p>
    <w:p w14:paraId="758CCE83"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 xml:space="preserve"> Peers, Steve. EU Justice and Home Affairs Law. Oxford: Oxford University Press, 2016.</w:t>
      </w:r>
    </w:p>
    <w:p w14:paraId="35DB7F36"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 xml:space="preserve"> </w:t>
      </w:r>
      <w:proofErr w:type="spellStart"/>
      <w:r w:rsidRPr="009C697D">
        <w:rPr>
          <w:rFonts w:ascii="Times New Roman" w:hAnsi="Times New Roman" w:cs="Times New Roman"/>
          <w:sz w:val="28"/>
          <w:szCs w:val="28"/>
          <w:lang w:val="en-US"/>
        </w:rPr>
        <w:t>Pollicino</w:t>
      </w:r>
      <w:proofErr w:type="spellEnd"/>
      <w:r w:rsidRPr="009C697D">
        <w:rPr>
          <w:rFonts w:ascii="Times New Roman" w:hAnsi="Times New Roman" w:cs="Times New Roman"/>
          <w:sz w:val="28"/>
          <w:szCs w:val="28"/>
          <w:lang w:val="en-US"/>
        </w:rPr>
        <w:t xml:space="preserve">, </w:t>
      </w:r>
      <w:proofErr w:type="spellStart"/>
      <w:r w:rsidRPr="009C697D">
        <w:rPr>
          <w:rFonts w:ascii="Times New Roman" w:hAnsi="Times New Roman" w:cs="Times New Roman"/>
          <w:sz w:val="28"/>
          <w:szCs w:val="28"/>
          <w:lang w:val="en-US"/>
        </w:rPr>
        <w:t>Oreste</w:t>
      </w:r>
      <w:proofErr w:type="spellEnd"/>
      <w:r w:rsidRPr="009C697D">
        <w:rPr>
          <w:rFonts w:ascii="Times New Roman" w:hAnsi="Times New Roman" w:cs="Times New Roman"/>
          <w:sz w:val="28"/>
          <w:szCs w:val="28"/>
          <w:lang w:val="en-US"/>
        </w:rPr>
        <w:t>. "</w:t>
      </w:r>
      <w:r w:rsidRPr="009C697D">
        <w:rPr>
          <w:rFonts w:ascii="Times New Roman" w:hAnsi="Times New Roman" w:cs="Times New Roman"/>
          <w:i/>
          <w:sz w:val="28"/>
          <w:szCs w:val="28"/>
          <w:lang w:val="en-US"/>
        </w:rPr>
        <w:t>European Arrest Warrant and Constitutional principles of the Member States: a Case Law-based Outline in the Attempt to strike the Right Balance between Interacting Legal Systems Developments</w:t>
      </w:r>
      <w:r w:rsidRPr="009C697D">
        <w:rPr>
          <w:rFonts w:ascii="Times New Roman" w:hAnsi="Times New Roman" w:cs="Times New Roman"/>
          <w:sz w:val="28"/>
          <w:szCs w:val="28"/>
          <w:lang w:val="en-US"/>
        </w:rPr>
        <w:t>". German Law Journal 9, no. 10 (2008): 1313-1354.</w:t>
      </w:r>
    </w:p>
    <w:p w14:paraId="40AC0BC4"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Sarmiento, Daniel. "</w:t>
      </w:r>
      <w:r w:rsidRPr="009C697D">
        <w:rPr>
          <w:rFonts w:ascii="Times New Roman" w:hAnsi="Times New Roman" w:cs="Times New Roman"/>
          <w:i/>
          <w:sz w:val="28"/>
          <w:szCs w:val="28"/>
          <w:lang w:val="en-US"/>
        </w:rPr>
        <w:t>European Union: The European Arrest Warrant and the Quest for Constitutional Coherence</w:t>
      </w:r>
      <w:r w:rsidRPr="009C697D">
        <w:rPr>
          <w:rFonts w:ascii="Times New Roman" w:hAnsi="Times New Roman" w:cs="Times New Roman"/>
          <w:sz w:val="28"/>
          <w:szCs w:val="28"/>
          <w:lang w:val="en-US"/>
        </w:rPr>
        <w:t>." International Journal of Constitutional Law 6, no. 1 (2007): 171-183.</w:t>
      </w:r>
    </w:p>
    <w:p w14:paraId="234C2D2E" w14:textId="77777777" w:rsidR="00E55052" w:rsidRPr="009C697D" w:rsidRDefault="00E55052" w:rsidP="00B02F86">
      <w:pPr>
        <w:pStyle w:val="a3"/>
        <w:numPr>
          <w:ilvl w:val="0"/>
          <w:numId w:val="1"/>
        </w:numPr>
        <w:spacing w:line="360" w:lineRule="auto"/>
        <w:ind w:left="567"/>
        <w:jc w:val="both"/>
        <w:rPr>
          <w:rFonts w:ascii="Times New Roman" w:hAnsi="Times New Roman" w:cs="Times New Roman"/>
          <w:sz w:val="28"/>
          <w:szCs w:val="28"/>
          <w:lang w:val="en-US"/>
        </w:rPr>
      </w:pPr>
      <w:r w:rsidRPr="009C697D">
        <w:rPr>
          <w:rFonts w:ascii="Times New Roman" w:hAnsi="Times New Roman" w:cs="Times New Roman"/>
          <w:sz w:val="28"/>
          <w:szCs w:val="28"/>
          <w:lang w:val="en-US"/>
        </w:rPr>
        <w:t>Treaty on European Union (Nice consolidated version). Official Journal C 325, 24/12/2002 P. 5 – 32.</w:t>
      </w:r>
    </w:p>
    <w:p w14:paraId="3C6E026C" w14:textId="77777777" w:rsidR="00E55052" w:rsidRPr="009C697D" w:rsidRDefault="00E55052" w:rsidP="00B02F86">
      <w:pPr>
        <w:spacing w:line="360" w:lineRule="auto"/>
        <w:ind w:left="567"/>
        <w:jc w:val="both"/>
        <w:rPr>
          <w:rFonts w:ascii="Times New Roman" w:hAnsi="Times New Roman" w:cs="Times New Roman"/>
          <w:sz w:val="28"/>
          <w:szCs w:val="28"/>
        </w:rPr>
      </w:pPr>
    </w:p>
    <w:sectPr w:rsidR="00E55052" w:rsidRPr="009C697D" w:rsidSect="004040AC">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D36D" w14:textId="77777777" w:rsidR="00981BB2" w:rsidRDefault="00981BB2" w:rsidP="00C36C1E">
      <w:pPr>
        <w:spacing w:after="0" w:line="240" w:lineRule="auto"/>
      </w:pPr>
      <w:r>
        <w:separator/>
      </w:r>
    </w:p>
  </w:endnote>
  <w:endnote w:type="continuationSeparator" w:id="0">
    <w:p w14:paraId="08B62BD2" w14:textId="77777777" w:rsidR="00981BB2" w:rsidRDefault="00981BB2" w:rsidP="00C3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96989"/>
      <w:docPartObj>
        <w:docPartGallery w:val="Page Numbers (Bottom of Page)"/>
        <w:docPartUnique/>
      </w:docPartObj>
    </w:sdtPr>
    <w:sdtEndPr/>
    <w:sdtContent>
      <w:p w14:paraId="1F8B4E89" w14:textId="77777777" w:rsidR="00C36C1E" w:rsidRDefault="00C36C1E">
        <w:pPr>
          <w:pStyle w:val="a6"/>
          <w:jc w:val="center"/>
        </w:pPr>
        <w:r>
          <w:fldChar w:fldCharType="begin"/>
        </w:r>
        <w:r>
          <w:instrText>PAGE   \* MERGEFORMAT</w:instrText>
        </w:r>
        <w:r>
          <w:fldChar w:fldCharType="separate"/>
        </w:r>
        <w:r w:rsidR="00AA61E7" w:rsidRPr="00AA61E7">
          <w:rPr>
            <w:noProof/>
            <w:lang w:val="sl-SI"/>
          </w:rPr>
          <w:t>1</w:t>
        </w:r>
        <w:r>
          <w:fldChar w:fldCharType="end"/>
        </w:r>
      </w:p>
    </w:sdtContent>
  </w:sdt>
  <w:p w14:paraId="3E509ECF" w14:textId="77777777" w:rsidR="00C36C1E" w:rsidRDefault="00C36C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1552" w14:textId="77777777" w:rsidR="00981BB2" w:rsidRDefault="00981BB2" w:rsidP="00C36C1E">
      <w:pPr>
        <w:spacing w:after="0" w:line="240" w:lineRule="auto"/>
      </w:pPr>
      <w:r>
        <w:separator/>
      </w:r>
    </w:p>
  </w:footnote>
  <w:footnote w:type="continuationSeparator" w:id="0">
    <w:p w14:paraId="64F99508" w14:textId="77777777" w:rsidR="00981BB2" w:rsidRDefault="00981BB2" w:rsidP="00C36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4BE6"/>
    <w:multiLevelType w:val="hybridMultilevel"/>
    <w:tmpl w:val="BBAA152E"/>
    <w:lvl w:ilvl="0" w:tplc="9BD8262C">
      <w:start w:val="1"/>
      <w:numFmt w:val="decimal"/>
      <w:lvlText w:val="%1."/>
      <w:lvlJc w:val="left"/>
      <w:pPr>
        <w:ind w:left="1068" w:hanging="360"/>
      </w:pPr>
      <w:rPr>
        <w:rFonts w:hint="default"/>
        <w:color w:val="333333"/>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1A"/>
    <w:rsid w:val="0003018A"/>
    <w:rsid w:val="00030A52"/>
    <w:rsid w:val="0006242A"/>
    <w:rsid w:val="000708A2"/>
    <w:rsid w:val="000D1008"/>
    <w:rsid w:val="000D2531"/>
    <w:rsid w:val="000D2C71"/>
    <w:rsid w:val="001A2A50"/>
    <w:rsid w:val="001D4DB6"/>
    <w:rsid w:val="00370DBA"/>
    <w:rsid w:val="003C473A"/>
    <w:rsid w:val="003F2CDD"/>
    <w:rsid w:val="004040AC"/>
    <w:rsid w:val="004365BD"/>
    <w:rsid w:val="004E1909"/>
    <w:rsid w:val="00551E68"/>
    <w:rsid w:val="00585C86"/>
    <w:rsid w:val="00591447"/>
    <w:rsid w:val="005C24AE"/>
    <w:rsid w:val="005E7D8E"/>
    <w:rsid w:val="00650148"/>
    <w:rsid w:val="00650272"/>
    <w:rsid w:val="00655800"/>
    <w:rsid w:val="0067350A"/>
    <w:rsid w:val="006A0D8D"/>
    <w:rsid w:val="00704F9C"/>
    <w:rsid w:val="00773815"/>
    <w:rsid w:val="007C4881"/>
    <w:rsid w:val="00800F05"/>
    <w:rsid w:val="00864B7A"/>
    <w:rsid w:val="00867C2A"/>
    <w:rsid w:val="008B341A"/>
    <w:rsid w:val="008C7571"/>
    <w:rsid w:val="008E0DFB"/>
    <w:rsid w:val="0093780E"/>
    <w:rsid w:val="00970581"/>
    <w:rsid w:val="00981BB2"/>
    <w:rsid w:val="009C0A95"/>
    <w:rsid w:val="009C697D"/>
    <w:rsid w:val="009F3896"/>
    <w:rsid w:val="00A36321"/>
    <w:rsid w:val="00A552E1"/>
    <w:rsid w:val="00AA46AD"/>
    <w:rsid w:val="00AA61E7"/>
    <w:rsid w:val="00AB6312"/>
    <w:rsid w:val="00AF3892"/>
    <w:rsid w:val="00B02F86"/>
    <w:rsid w:val="00B35745"/>
    <w:rsid w:val="00B738BA"/>
    <w:rsid w:val="00B978B3"/>
    <w:rsid w:val="00BC65DB"/>
    <w:rsid w:val="00BE0D4D"/>
    <w:rsid w:val="00C0373B"/>
    <w:rsid w:val="00C2537F"/>
    <w:rsid w:val="00C36C1E"/>
    <w:rsid w:val="00C70C62"/>
    <w:rsid w:val="00CC3946"/>
    <w:rsid w:val="00CE1D16"/>
    <w:rsid w:val="00D0023D"/>
    <w:rsid w:val="00D12B6E"/>
    <w:rsid w:val="00D70F88"/>
    <w:rsid w:val="00D829A4"/>
    <w:rsid w:val="00D85394"/>
    <w:rsid w:val="00DF4C6D"/>
    <w:rsid w:val="00E11DD9"/>
    <w:rsid w:val="00E425B7"/>
    <w:rsid w:val="00E55052"/>
    <w:rsid w:val="00EC238A"/>
    <w:rsid w:val="00EE5FFC"/>
    <w:rsid w:val="00F25476"/>
    <w:rsid w:val="00F44F5B"/>
    <w:rsid w:val="00F903BB"/>
    <w:rsid w:val="00FA4C8A"/>
    <w:rsid w:val="00FC3DE7"/>
    <w:rsid w:val="00FD40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FB"/>
    <w:pPr>
      <w:ind w:left="720"/>
      <w:contextualSpacing/>
    </w:pPr>
  </w:style>
  <w:style w:type="paragraph" w:styleId="a4">
    <w:name w:val="header"/>
    <w:basedOn w:val="a"/>
    <w:link w:val="a5"/>
    <w:uiPriority w:val="99"/>
    <w:unhideWhenUsed/>
    <w:rsid w:val="00C36C1E"/>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36C1E"/>
    <w:rPr>
      <w:lang w:val="en-GB"/>
    </w:rPr>
  </w:style>
  <w:style w:type="paragraph" w:styleId="a6">
    <w:name w:val="footer"/>
    <w:basedOn w:val="a"/>
    <w:link w:val="a7"/>
    <w:uiPriority w:val="99"/>
    <w:unhideWhenUsed/>
    <w:rsid w:val="00C36C1E"/>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36C1E"/>
    <w:rPr>
      <w:lang w:val="en-GB"/>
    </w:rPr>
  </w:style>
  <w:style w:type="character" w:styleId="a8">
    <w:name w:val="annotation reference"/>
    <w:basedOn w:val="a0"/>
    <w:uiPriority w:val="99"/>
    <w:semiHidden/>
    <w:unhideWhenUsed/>
    <w:rsid w:val="00591447"/>
    <w:rPr>
      <w:sz w:val="16"/>
      <w:szCs w:val="16"/>
    </w:rPr>
  </w:style>
  <w:style w:type="paragraph" w:styleId="a9">
    <w:name w:val="annotation text"/>
    <w:basedOn w:val="a"/>
    <w:link w:val="aa"/>
    <w:uiPriority w:val="99"/>
    <w:semiHidden/>
    <w:unhideWhenUsed/>
    <w:rsid w:val="00591447"/>
    <w:pPr>
      <w:spacing w:line="240" w:lineRule="auto"/>
    </w:pPr>
    <w:rPr>
      <w:sz w:val="20"/>
      <w:szCs w:val="20"/>
    </w:rPr>
  </w:style>
  <w:style w:type="character" w:customStyle="1" w:styleId="aa">
    <w:name w:val="Текст примечания Знак"/>
    <w:basedOn w:val="a0"/>
    <w:link w:val="a9"/>
    <w:uiPriority w:val="99"/>
    <w:semiHidden/>
    <w:rsid w:val="00591447"/>
    <w:rPr>
      <w:sz w:val="20"/>
      <w:szCs w:val="20"/>
      <w:lang w:val="en-GB"/>
    </w:rPr>
  </w:style>
  <w:style w:type="paragraph" w:styleId="ab">
    <w:name w:val="annotation subject"/>
    <w:basedOn w:val="a9"/>
    <w:next w:val="a9"/>
    <w:link w:val="ac"/>
    <w:uiPriority w:val="99"/>
    <w:semiHidden/>
    <w:unhideWhenUsed/>
    <w:rsid w:val="00591447"/>
    <w:rPr>
      <w:b/>
      <w:bCs/>
    </w:rPr>
  </w:style>
  <w:style w:type="character" w:customStyle="1" w:styleId="ac">
    <w:name w:val="Тема примечания Знак"/>
    <w:basedOn w:val="aa"/>
    <w:link w:val="ab"/>
    <w:uiPriority w:val="99"/>
    <w:semiHidden/>
    <w:rsid w:val="00591447"/>
    <w:rPr>
      <w:b/>
      <w:bCs/>
      <w:sz w:val="20"/>
      <w:szCs w:val="20"/>
      <w:lang w:val="en-GB"/>
    </w:rPr>
  </w:style>
  <w:style w:type="paragraph" w:styleId="ad">
    <w:name w:val="Balloon Text"/>
    <w:basedOn w:val="a"/>
    <w:link w:val="ae"/>
    <w:uiPriority w:val="99"/>
    <w:semiHidden/>
    <w:unhideWhenUsed/>
    <w:rsid w:val="0059144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91447"/>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FB"/>
    <w:pPr>
      <w:ind w:left="720"/>
      <w:contextualSpacing/>
    </w:pPr>
  </w:style>
  <w:style w:type="paragraph" w:styleId="a4">
    <w:name w:val="header"/>
    <w:basedOn w:val="a"/>
    <w:link w:val="a5"/>
    <w:uiPriority w:val="99"/>
    <w:unhideWhenUsed/>
    <w:rsid w:val="00C36C1E"/>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36C1E"/>
    <w:rPr>
      <w:lang w:val="en-GB"/>
    </w:rPr>
  </w:style>
  <w:style w:type="paragraph" w:styleId="a6">
    <w:name w:val="footer"/>
    <w:basedOn w:val="a"/>
    <w:link w:val="a7"/>
    <w:uiPriority w:val="99"/>
    <w:unhideWhenUsed/>
    <w:rsid w:val="00C36C1E"/>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36C1E"/>
    <w:rPr>
      <w:lang w:val="en-GB"/>
    </w:rPr>
  </w:style>
  <w:style w:type="character" w:styleId="a8">
    <w:name w:val="annotation reference"/>
    <w:basedOn w:val="a0"/>
    <w:uiPriority w:val="99"/>
    <w:semiHidden/>
    <w:unhideWhenUsed/>
    <w:rsid w:val="00591447"/>
    <w:rPr>
      <w:sz w:val="16"/>
      <w:szCs w:val="16"/>
    </w:rPr>
  </w:style>
  <w:style w:type="paragraph" w:styleId="a9">
    <w:name w:val="annotation text"/>
    <w:basedOn w:val="a"/>
    <w:link w:val="aa"/>
    <w:uiPriority w:val="99"/>
    <w:semiHidden/>
    <w:unhideWhenUsed/>
    <w:rsid w:val="00591447"/>
    <w:pPr>
      <w:spacing w:line="240" w:lineRule="auto"/>
    </w:pPr>
    <w:rPr>
      <w:sz w:val="20"/>
      <w:szCs w:val="20"/>
    </w:rPr>
  </w:style>
  <w:style w:type="character" w:customStyle="1" w:styleId="aa">
    <w:name w:val="Текст примечания Знак"/>
    <w:basedOn w:val="a0"/>
    <w:link w:val="a9"/>
    <w:uiPriority w:val="99"/>
    <w:semiHidden/>
    <w:rsid w:val="00591447"/>
    <w:rPr>
      <w:sz w:val="20"/>
      <w:szCs w:val="20"/>
      <w:lang w:val="en-GB"/>
    </w:rPr>
  </w:style>
  <w:style w:type="paragraph" w:styleId="ab">
    <w:name w:val="annotation subject"/>
    <w:basedOn w:val="a9"/>
    <w:next w:val="a9"/>
    <w:link w:val="ac"/>
    <w:uiPriority w:val="99"/>
    <w:semiHidden/>
    <w:unhideWhenUsed/>
    <w:rsid w:val="00591447"/>
    <w:rPr>
      <w:b/>
      <w:bCs/>
    </w:rPr>
  </w:style>
  <w:style w:type="character" w:customStyle="1" w:styleId="ac">
    <w:name w:val="Тема примечания Знак"/>
    <w:basedOn w:val="aa"/>
    <w:link w:val="ab"/>
    <w:uiPriority w:val="99"/>
    <w:semiHidden/>
    <w:rsid w:val="00591447"/>
    <w:rPr>
      <w:b/>
      <w:bCs/>
      <w:sz w:val="20"/>
      <w:szCs w:val="20"/>
      <w:lang w:val="en-GB"/>
    </w:rPr>
  </w:style>
  <w:style w:type="paragraph" w:styleId="ad">
    <w:name w:val="Balloon Text"/>
    <w:basedOn w:val="a"/>
    <w:link w:val="ae"/>
    <w:uiPriority w:val="99"/>
    <w:semiHidden/>
    <w:unhideWhenUsed/>
    <w:rsid w:val="0059144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9144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5902">
      <w:bodyDiv w:val="1"/>
      <w:marLeft w:val="0"/>
      <w:marRight w:val="0"/>
      <w:marTop w:val="0"/>
      <w:marBottom w:val="0"/>
      <w:divBdr>
        <w:top w:val="none" w:sz="0" w:space="0" w:color="auto"/>
        <w:left w:val="none" w:sz="0" w:space="0" w:color="auto"/>
        <w:bottom w:val="none" w:sz="0" w:space="0" w:color="auto"/>
        <w:right w:val="none" w:sz="0" w:space="0" w:color="auto"/>
      </w:divBdr>
    </w:div>
    <w:div w:id="1410232480">
      <w:bodyDiv w:val="1"/>
      <w:marLeft w:val="0"/>
      <w:marRight w:val="0"/>
      <w:marTop w:val="0"/>
      <w:marBottom w:val="0"/>
      <w:divBdr>
        <w:top w:val="none" w:sz="0" w:space="0" w:color="auto"/>
        <w:left w:val="none" w:sz="0" w:space="0" w:color="auto"/>
        <w:bottom w:val="none" w:sz="0" w:space="0" w:color="auto"/>
        <w:right w:val="none" w:sz="0" w:space="0" w:color="auto"/>
      </w:divBdr>
    </w:div>
    <w:div w:id="181509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Slog Chicago" Version="15"/>
</file>

<file path=customXml/itemProps1.xml><?xml version="1.0" encoding="utf-8"?>
<ds:datastoreItem xmlns:ds="http://schemas.openxmlformats.org/officeDocument/2006/customXml" ds:itemID="{7005AB60-76DD-4315-84C5-DD086A1B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7731</Characters>
  <Application>Microsoft Office Word</Application>
  <DocSecurity>0</DocSecurity>
  <Lines>64</Lines>
  <Paragraphs>18</Paragraphs>
  <ScaleCrop>false</ScaleCrop>
  <HeadingPairs>
    <vt:vector size="6" baseType="variant">
      <vt:variant>
        <vt:lpstr>Название</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Aljoša Polajžar</dc:creator>
  <cp:lastModifiedBy>Admin</cp:lastModifiedBy>
  <cp:revision>2</cp:revision>
  <dcterms:created xsi:type="dcterms:W3CDTF">2019-05-27T11:18:00Z</dcterms:created>
  <dcterms:modified xsi:type="dcterms:W3CDTF">2019-05-27T11:18:00Z</dcterms:modified>
</cp:coreProperties>
</file>