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DB" w:rsidRPr="00B6782A" w:rsidRDefault="008F6C25" w:rsidP="008F6C25">
      <w:pPr>
        <w:tabs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УДК                                                                               </w:t>
      </w:r>
      <w:proofErr w:type="spellStart"/>
      <w:r w:rsidR="004D69DB" w:rsidRPr="00B6782A">
        <w:rPr>
          <w:rFonts w:ascii="Times New Roman" w:hAnsi="Times New Roman"/>
          <w:b/>
          <w:sz w:val="28"/>
          <w:szCs w:val="28"/>
          <w:lang w:val="uk-UA"/>
        </w:rPr>
        <w:t>Манукян</w:t>
      </w:r>
      <w:proofErr w:type="spellEnd"/>
      <w:r w:rsidR="004D69DB" w:rsidRPr="00B6782A">
        <w:rPr>
          <w:rFonts w:ascii="Times New Roman" w:hAnsi="Times New Roman"/>
          <w:b/>
          <w:sz w:val="28"/>
          <w:szCs w:val="28"/>
          <w:lang w:val="uk-UA"/>
        </w:rPr>
        <w:t xml:space="preserve"> А.Ж.,</w:t>
      </w:r>
      <w:r w:rsidR="004D69DB" w:rsidRPr="00B6782A">
        <w:rPr>
          <w:rFonts w:ascii="Times New Roman" w:hAnsi="Times New Roman"/>
          <w:sz w:val="28"/>
          <w:szCs w:val="28"/>
          <w:lang w:val="uk-UA"/>
        </w:rPr>
        <w:t xml:space="preserve"> студентка </w:t>
      </w:r>
    </w:p>
    <w:p w:rsidR="007F643C" w:rsidRPr="00B6782A" w:rsidRDefault="007F643C" w:rsidP="00C80764">
      <w:pPr>
        <w:tabs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6782A">
        <w:rPr>
          <w:rFonts w:ascii="Times New Roman" w:hAnsi="Times New Roman"/>
          <w:b/>
          <w:sz w:val="28"/>
          <w:szCs w:val="28"/>
          <w:lang w:val="uk-UA"/>
        </w:rPr>
        <w:t>Ткачик І.М.,</w:t>
      </w:r>
      <w:r w:rsidRPr="00B6782A">
        <w:rPr>
          <w:rFonts w:ascii="Times New Roman" w:hAnsi="Times New Roman"/>
          <w:sz w:val="28"/>
          <w:szCs w:val="28"/>
          <w:lang w:val="uk-UA"/>
        </w:rPr>
        <w:t xml:space="preserve"> студентка</w:t>
      </w:r>
    </w:p>
    <w:p w:rsidR="004D69DB" w:rsidRPr="00B6782A" w:rsidRDefault="004D69DB" w:rsidP="00C8076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6782A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м. Київ</w:t>
      </w:r>
    </w:p>
    <w:p w:rsidR="004D69DB" w:rsidRDefault="004D69DB" w:rsidP="008F6C25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678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C80764" w:rsidRPr="00B6782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6782A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B6782A">
        <w:rPr>
          <w:rFonts w:ascii="Times New Roman" w:hAnsi="Times New Roman"/>
          <w:sz w:val="28"/>
          <w:szCs w:val="28"/>
          <w:lang w:val="uk-UA"/>
        </w:rPr>
        <w:t>Корнєєв</w:t>
      </w:r>
      <w:proofErr w:type="spellEnd"/>
      <w:r w:rsidRPr="00B6782A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8F6C25" w:rsidRPr="008F6C25" w:rsidRDefault="008F6C25" w:rsidP="008F6C2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</w:t>
      </w:r>
    </w:p>
    <w:p w:rsidR="008F6C25" w:rsidRDefault="004D69DB" w:rsidP="008F6C2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782A">
        <w:rPr>
          <w:rFonts w:ascii="Times New Roman" w:hAnsi="Times New Roman"/>
          <w:b/>
          <w:sz w:val="28"/>
          <w:szCs w:val="28"/>
          <w:lang w:val="uk-UA"/>
        </w:rPr>
        <w:t>НАСЛІДКИ ПРОНИКН</w:t>
      </w:r>
      <w:r w:rsidR="00BD36C2" w:rsidRPr="00B6782A">
        <w:rPr>
          <w:rFonts w:ascii="Times New Roman" w:hAnsi="Times New Roman"/>
          <w:b/>
          <w:sz w:val="28"/>
          <w:szCs w:val="28"/>
          <w:lang w:val="uk-UA"/>
        </w:rPr>
        <w:t xml:space="preserve">ЕННЯ НА ЗЕМЕЛЬНУ ДІЛЯНКУ ГІЛОК </w:t>
      </w:r>
      <w:r w:rsidRPr="00B6782A">
        <w:rPr>
          <w:rFonts w:ascii="Times New Roman" w:hAnsi="Times New Roman"/>
          <w:b/>
          <w:sz w:val="28"/>
          <w:szCs w:val="28"/>
          <w:lang w:val="uk-UA"/>
        </w:rPr>
        <w:t xml:space="preserve"> КОРЕНІВ ДЕРЕВ</w:t>
      </w:r>
    </w:p>
    <w:p w:rsidR="009003C4" w:rsidRPr="008F6C25" w:rsidRDefault="009003C4" w:rsidP="008F6C2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6F9C" w:rsidRPr="00B6782A" w:rsidRDefault="00B54729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E3593C">
        <w:rPr>
          <w:rFonts w:ascii="Times New Roman" w:hAnsi="Times New Roman" w:cs="Times New Roman"/>
          <w:sz w:val="28"/>
          <w:szCs w:val="28"/>
          <w:lang w:val="uk-UA"/>
        </w:rPr>
        <w:t xml:space="preserve">зі ст. 105 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E359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61965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випадку проникнення коренів і гілок дерев з однієї земельної ділянки на іншу, </w:t>
      </w:r>
      <w:bookmarkStart w:id="0" w:name="_GoBack"/>
      <w:bookmarkEnd w:id="0"/>
      <w:r w:rsidR="00D61965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власники та землекористувачі земельних ділянок мають право відрізати корені дерев і кущів, які проникають із сусідньої земельної ділянки, якщо таке проникнення є перепоною у використанні земельної ділянки за цільовим призначенням. Однак, це положення стосується саме випадкі</w:t>
      </w:r>
      <w:r w:rsidR="00BD36C2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в, коли корені або гілки дерев,  проникли із сусідньої ділянки та </w:t>
      </w:r>
      <w:r w:rsidR="00D61965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перешкоди для землекористувача в користуванні своєю земельною ділянкою. Наслідками можуть стати дії власників землі і землекористувачів по знищенню коренів дерев і кущів, які проникають із сусідньої земельної ділянки, без узгодження або повідомлення власника чи користувача сусідньої земельної ділянки про такі наміри. </w:t>
      </w:r>
    </w:p>
    <w:p w:rsidR="00BC6F9C" w:rsidRPr="00B6782A" w:rsidRDefault="00BC6F9C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Саме п</w:t>
      </w:r>
      <w:r w:rsidR="00C80764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раво на  «обрізання»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стосується рослин, що підлягають охороні згідно із екологічним законодавством, зокрема, занесених до Зеленої </w:t>
      </w:r>
      <w:r w:rsidR="008C64C5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книги </w:t>
      </w:r>
      <w:r w:rsidR="00C80764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(відповідно до ст. 31 ЗУ «Про рослинний світ»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Положення про Зелену книгу України затверджено ПКМ від 29.08.2002 № 1286) або Червоної книг України (ЗУ</w:t>
      </w:r>
      <w:r w:rsidRPr="00B6782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80764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Червону книгу України»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  <w:r w:rsidR="007F643C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A5520" w:rsidRPr="00B6782A" w:rsidRDefault="00D61965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>Відрізати корені дерев і кущів можна лише на своїй земельній ділянці, без проникнення на земельну ділянку сусіда. Але зазначене право власника і землекористувача може бути обмежене у випадках, виз</w:t>
      </w:r>
      <w:r w:rsidR="00C80764" w:rsidRPr="00B6782A">
        <w:rPr>
          <w:rFonts w:ascii="Times New Roman" w:hAnsi="Times New Roman" w:cs="Times New Roman"/>
          <w:sz w:val="28"/>
          <w:szCs w:val="28"/>
          <w:lang w:val="uk-UA"/>
        </w:rPr>
        <w:t>начених законом. Закон України  «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C80764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риродно-заповідний фонд України» 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від 16 червня 1992 р. передбачає обмеження права відрізати корені дерев і кущів у межах 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охоронних зон об’єктів природно-заповідного фонду, а на власників і землекористувачів ділянок, суміжних з земельними ділянками, на яких розташовані пам’ятки природи, може бути покладено обов’язок забезпечення охорони дерев і кущів, оголошених пам’ятками природи. Законодавство України у деяких випадках обмежує право одного з сусідів вимагати зрізання </w:t>
      </w:r>
      <w:r w:rsidR="001A5520" w:rsidRPr="00B6782A">
        <w:rPr>
          <w:rFonts w:ascii="Times New Roman" w:hAnsi="Times New Roman" w:cs="Times New Roman"/>
          <w:sz w:val="28"/>
          <w:szCs w:val="28"/>
          <w:lang w:val="uk-UA"/>
        </w:rPr>
        <w:t>(викорчовування) дерев (кущів):</w:t>
      </w:r>
    </w:p>
    <w:p w:rsidR="001A5520" w:rsidRPr="00B6782A" w:rsidRDefault="00D61965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- якщо ці дерева (кущі) слугують межовими знаками, вони можуть бути знищені тільки після </w:t>
      </w:r>
      <w:r w:rsidR="001A5520" w:rsidRPr="00B6782A">
        <w:rPr>
          <w:rFonts w:ascii="Times New Roman" w:hAnsi="Times New Roman" w:cs="Times New Roman"/>
          <w:sz w:val="28"/>
          <w:szCs w:val="28"/>
          <w:lang w:val="uk-UA"/>
        </w:rPr>
        <w:t>заміни їх на інші межові знаки;</w:t>
      </w:r>
    </w:p>
    <w:p w:rsidR="00172995" w:rsidRPr="00B6782A" w:rsidRDefault="00D61965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>- якщо ці дерева (кущі) занесені до Зеленої книги або підлягають особливій охороні з інших обстави</w:t>
      </w:r>
      <w:r w:rsidR="00C80764" w:rsidRPr="00B6782A">
        <w:rPr>
          <w:rFonts w:ascii="Times New Roman" w:hAnsi="Times New Roman" w:cs="Times New Roman"/>
          <w:sz w:val="28"/>
          <w:szCs w:val="28"/>
          <w:lang w:val="uk-UA"/>
        </w:rPr>
        <w:t>н відповідно до Закону України «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C80764" w:rsidRPr="00B6782A">
        <w:rPr>
          <w:rFonts w:ascii="Times New Roman" w:hAnsi="Times New Roman" w:cs="Times New Roman"/>
          <w:sz w:val="28"/>
          <w:szCs w:val="28"/>
          <w:lang w:val="uk-UA"/>
        </w:rPr>
        <w:t>риродно-заповідний фонд України»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>. Зрізання (викорчовування) дерев самостійно одним із сусідів не повинне заподіювати шкоди іншому сусідові</w:t>
      </w:r>
      <w:r w:rsidR="006D6252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9C" w:rsidRPr="00B6782A" w:rsidRDefault="00BC6F9C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Але, якщо проникнення коренів та гілок не заважає використанню земельної ділянки за цільовим призначенням, закон не надає власникам та користувачам останніх відрізати такі корені та гілки</w:t>
      </w:r>
      <w:r w:rsidRPr="00B6782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7F643C" w:rsidRPr="00B6782A" w:rsidRDefault="00172995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1A5520" w:rsidRPr="00B6782A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A5520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користувач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земельної ділянки </w:t>
      </w:r>
      <w:r w:rsidR="001A5520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можуть 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звернутися із позовом про усунення перешкод шляхом зрізання гілок та коренів. Такі позови повинні розглядатися та задовольнятися. Більш того, оскільки будівельними нормами заборонено розміщення дерев ближче 3 м, а кущів - ближче 1,5 м </w:t>
      </w:r>
      <w:r w:rsidR="00C80764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межі (п.4.13 ДБН Б.2.4-1-94 «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Плануванн</w:t>
      </w:r>
      <w:r w:rsidR="00137282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і забудова сільських поселень»</w:t>
      </w:r>
      <w:r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п.3.25 ДБН 360-92**), вимагати можна не лише зрізання гілок та дерев, а і власне дерев та кущів, що розміщені в межах вказаної відстані.</w:t>
      </w:r>
    </w:p>
    <w:p w:rsidR="006B478B" w:rsidRPr="00B6782A" w:rsidRDefault="00326B80" w:rsidP="00C807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Відповідно до р</w:t>
      </w:r>
      <w:r w:rsidR="007F643C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оз'яснення Ви</w:t>
      </w:r>
      <w:r w:rsidR="00137282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щого арбітражного суду України «</w:t>
      </w:r>
      <w:r w:rsidR="007F643C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Про деякі питання практики вирішення спорів, пов'язаних із застосуванням законодавства про охорону навколишнього природного </w:t>
      </w:r>
      <w:r w:rsidR="00137282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середовища»</w:t>
      </w:r>
      <w:r w:rsidR="007F643C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ві</w:t>
      </w:r>
      <w:r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д 27 червня 2001 р. № 02-5/744, </w:t>
      </w:r>
      <w:r w:rsidR="007F643C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таке пошкодження гілок, коренів дерев і кущів не буде вважатися екологічним правопорушенням, оскільки воно віднесено до правомірних у зазначеній ситуації дій будь-якого власника і землекористувача. У таких випадках обмеження в реалізації права власності полягає у виснаженні сусідньої земельної ділянки, її затіненні</w:t>
      </w:r>
      <w:r w:rsidR="006D6252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6252" w:rsidRPr="00B6782A">
        <w:rPr>
          <w:rFonts w:ascii="Sylfaen" w:hAnsi="Sylfaen" w:cs="Times New Roman"/>
          <w:iCs/>
          <w:color w:val="000000"/>
          <w:sz w:val="28"/>
          <w:szCs w:val="28"/>
          <w:shd w:val="clear" w:color="auto" w:fill="FFFFFF"/>
          <w:lang w:val="uk-UA"/>
        </w:rPr>
        <w:t>[3</w:t>
      </w:r>
      <w:r w:rsidR="00853A4B" w:rsidRPr="00B6782A">
        <w:rPr>
          <w:rFonts w:ascii="Sylfaen" w:hAnsi="Sylfaen" w:cs="Times New Roman"/>
          <w:iCs/>
          <w:color w:val="000000"/>
          <w:sz w:val="28"/>
          <w:szCs w:val="28"/>
          <w:shd w:val="clear" w:color="auto" w:fill="FFFFFF"/>
          <w:lang w:val="uk-UA"/>
        </w:rPr>
        <w:t>, c. 61</w:t>
      </w:r>
      <w:r w:rsidR="006D6252" w:rsidRPr="00B6782A">
        <w:rPr>
          <w:rFonts w:ascii="Sylfaen" w:hAnsi="Sylfaen" w:cs="Times New Roman"/>
          <w:iCs/>
          <w:color w:val="000000"/>
          <w:sz w:val="28"/>
          <w:szCs w:val="28"/>
          <w:shd w:val="clear" w:color="auto" w:fill="FFFFFF"/>
          <w:lang w:val="uk-UA"/>
        </w:rPr>
        <w:t>]</w:t>
      </w:r>
      <w:r w:rsidR="007F643C" w:rsidRPr="00B678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D61965" w:rsidRPr="00B6782A">
        <w:rPr>
          <w:rFonts w:ascii="Times New Roman" w:hAnsi="Times New Roman" w:cs="Times New Roman"/>
          <w:sz w:val="28"/>
          <w:szCs w:val="28"/>
          <w:lang w:val="uk-UA"/>
        </w:rPr>
        <w:br/>
      </w:r>
      <w:r w:rsidR="00853A4B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5D03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сказати, що </w:t>
      </w:r>
      <w:r w:rsidR="00695D03" w:rsidRPr="00B67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своєю правовою природою право відрізати гілки та коріння, які перешкоджають використанню ділянки за цільовим призначенням, є формою самозахисту, а не шкодою іншому власнику земельної ділянки.</w:t>
      </w:r>
    </w:p>
    <w:p w:rsidR="007F643C" w:rsidRPr="00B6782A" w:rsidRDefault="007F643C" w:rsidP="00137282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F643C" w:rsidRPr="00B6782A" w:rsidRDefault="007F643C" w:rsidP="0013728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Література:</w:t>
      </w:r>
    </w:p>
    <w:p w:rsidR="007F643C" w:rsidRPr="00B6782A" w:rsidRDefault="007F643C" w:rsidP="009A7E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// Відомості Верховної Ради Ук</w:t>
      </w:r>
      <w:r w:rsidR="00E111B0" w:rsidRPr="00B6782A">
        <w:rPr>
          <w:rFonts w:ascii="Times New Roman" w:hAnsi="Times New Roman" w:cs="Times New Roman"/>
          <w:sz w:val="28"/>
          <w:szCs w:val="28"/>
          <w:lang w:val="uk-UA"/>
        </w:rPr>
        <w:t>раїни. - 2001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111B0" w:rsidRPr="00B678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111B0" w:rsidRPr="00B6782A">
        <w:rPr>
          <w:rFonts w:ascii="Times New Roman" w:hAnsi="Times New Roman" w:cs="Times New Roman"/>
          <w:sz w:val="28"/>
          <w:szCs w:val="28"/>
          <w:lang w:val="uk-UA"/>
        </w:rPr>
        <w:t xml:space="preserve"> 2768-III. </w:t>
      </w:r>
    </w:p>
    <w:p w:rsidR="00137282" w:rsidRPr="00B6782A" w:rsidRDefault="00137282" w:rsidP="009A7E2E">
      <w:pPr>
        <w:pStyle w:val="1"/>
        <w:numPr>
          <w:ilvl w:val="0"/>
          <w:numId w:val="2"/>
        </w:numPr>
        <w:shd w:val="clear" w:color="auto" w:fill="FFFFFF"/>
        <w:spacing w:before="0" w:line="360" w:lineRule="auto"/>
        <w:ind w:left="284" w:firstLine="28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 xml:space="preserve">Мірошниченко А.М., </w:t>
      </w:r>
      <w:proofErr w:type="spellStart"/>
      <w:r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>Ма</w:t>
      </w:r>
      <w:r w:rsidR="009A7E2E"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>русенко</w:t>
      </w:r>
      <w:proofErr w:type="spellEnd"/>
      <w:r w:rsidR="009A7E2E"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 xml:space="preserve"> Р.І. Науково-практичний </w:t>
      </w:r>
      <w:r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 xml:space="preserve">коментар Земельного кодексу України. – К.: </w:t>
      </w:r>
      <w:proofErr w:type="spellStart"/>
      <w:r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>Алерта</w:t>
      </w:r>
      <w:proofErr w:type="spellEnd"/>
      <w:r w:rsidRPr="00B6782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DFDFF"/>
          <w:lang w:val="uk-UA"/>
        </w:rPr>
        <w:t>; Центр учбової літератури, 2011. - 520 с. [Електронний ресурс] – режим доступу: http://www.amm.org.ua/ru/component/content/article/31-uncategorised/7-published-articles-books</w:t>
      </w:r>
    </w:p>
    <w:p w:rsidR="007F643C" w:rsidRPr="00B6782A" w:rsidRDefault="007F643C" w:rsidP="009A7E2E">
      <w:pPr>
        <w:pStyle w:val="1"/>
        <w:numPr>
          <w:ilvl w:val="0"/>
          <w:numId w:val="2"/>
        </w:numPr>
        <w:shd w:val="clear" w:color="auto" w:fill="FFFFFF"/>
        <w:spacing w:before="0" w:line="360" w:lineRule="auto"/>
        <w:ind w:left="284" w:firstLine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Корнєєв</w:t>
      </w:r>
      <w:proofErr w:type="spellEnd"/>
      <w:r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Ю.В. Підручник / Земельне право</w:t>
      </w:r>
      <w:r w:rsidR="009A7E2E"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="009A7E2E"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="009A7E2E"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9A7E2E"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="009A7E2E" w:rsidRPr="00B6782A">
        <w:rPr>
          <w:rFonts w:ascii="Times New Roman" w:hAnsi="Times New Roman" w:cs="Times New Roman"/>
          <w:color w:val="auto"/>
          <w:sz w:val="28"/>
          <w:szCs w:val="28"/>
          <w:lang w:val="uk-UA"/>
        </w:rPr>
        <w:t>. – К.: Центр учбової літератури, 2011. – 248 с.</w:t>
      </w:r>
    </w:p>
    <w:p w:rsidR="006D6252" w:rsidRPr="00B6782A" w:rsidRDefault="006D6252" w:rsidP="006D625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F643C" w:rsidRPr="00B6782A" w:rsidRDefault="007F643C" w:rsidP="007F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43C" w:rsidRPr="00B6782A" w:rsidSect="0011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6F8F"/>
    <w:multiLevelType w:val="hybridMultilevel"/>
    <w:tmpl w:val="FCD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0214"/>
    <w:multiLevelType w:val="hybridMultilevel"/>
    <w:tmpl w:val="96167308"/>
    <w:lvl w:ilvl="0" w:tplc="34503B2C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9DB"/>
    <w:rsid w:val="001105FF"/>
    <w:rsid w:val="00137282"/>
    <w:rsid w:val="00172995"/>
    <w:rsid w:val="001A5520"/>
    <w:rsid w:val="002454ED"/>
    <w:rsid w:val="00326B80"/>
    <w:rsid w:val="004D69DB"/>
    <w:rsid w:val="00695D03"/>
    <w:rsid w:val="006B478B"/>
    <w:rsid w:val="006C2697"/>
    <w:rsid w:val="006D6252"/>
    <w:rsid w:val="007F643C"/>
    <w:rsid w:val="00853A4B"/>
    <w:rsid w:val="00871110"/>
    <w:rsid w:val="008C64C5"/>
    <w:rsid w:val="008F6C25"/>
    <w:rsid w:val="009003C4"/>
    <w:rsid w:val="009A7E2E"/>
    <w:rsid w:val="00B54729"/>
    <w:rsid w:val="00B6782A"/>
    <w:rsid w:val="00BC6F9C"/>
    <w:rsid w:val="00BD36C2"/>
    <w:rsid w:val="00C80764"/>
    <w:rsid w:val="00D61965"/>
    <w:rsid w:val="00E111B0"/>
    <w:rsid w:val="00E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</w:style>
  <w:style w:type="paragraph" w:styleId="1">
    <w:name w:val="heading 1"/>
    <w:basedOn w:val="a"/>
    <w:next w:val="a"/>
    <w:link w:val="10"/>
    <w:uiPriority w:val="9"/>
    <w:qFormat/>
    <w:rsid w:val="007F6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6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D69DB"/>
  </w:style>
  <w:style w:type="character" w:styleId="a3">
    <w:name w:val="Hyperlink"/>
    <w:basedOn w:val="a0"/>
    <w:uiPriority w:val="99"/>
    <w:semiHidden/>
    <w:unhideWhenUsed/>
    <w:rsid w:val="004D69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4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Мірошниченко А.М., Марусенко Р.І. Науково-практичний коментар Земельного кодексу</vt:lpstr>
      <vt:lpstr>Корнєєв Ю.В. Підручник / Земельне право: навч. посіб. – К.: Центр учбової літера</vt:lpstr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supergirl</cp:lastModifiedBy>
  <cp:revision>2</cp:revision>
  <cp:lastPrinted>2015-04-13T20:18:00Z</cp:lastPrinted>
  <dcterms:created xsi:type="dcterms:W3CDTF">2015-04-14T17:08:00Z</dcterms:created>
  <dcterms:modified xsi:type="dcterms:W3CDTF">2015-04-14T17:08:00Z</dcterms:modified>
</cp:coreProperties>
</file>