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84" w:rsidRPr="00A45D8F" w:rsidRDefault="00A45D8F" w:rsidP="00534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45D8F" w:rsidRPr="00A45D8F" w:rsidRDefault="00A45D8F" w:rsidP="00534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D8F">
        <w:rPr>
          <w:rFonts w:ascii="Times New Roman" w:hAnsi="Times New Roman" w:cs="Times New Roman"/>
          <w:sz w:val="28"/>
          <w:szCs w:val="28"/>
          <w:lang w:val="en-US"/>
        </w:rPr>
        <w:t>Khaletska</w:t>
      </w:r>
      <w:proofErr w:type="spellEnd"/>
      <w:r w:rsidRPr="00A4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D8F">
        <w:rPr>
          <w:rFonts w:ascii="Times New Roman" w:hAnsi="Times New Roman" w:cs="Times New Roman"/>
          <w:sz w:val="28"/>
          <w:szCs w:val="28"/>
          <w:lang w:val="en-US"/>
        </w:rPr>
        <w:t>Lesia</w:t>
      </w:r>
      <w:proofErr w:type="spellEnd"/>
    </w:p>
    <w:p w:rsidR="00931094" w:rsidRDefault="00931094" w:rsidP="001C4C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30B2">
        <w:rPr>
          <w:rFonts w:ascii="Times New Roman" w:hAnsi="Times New Roman" w:cs="Times New Roman"/>
          <w:sz w:val="28"/>
          <w:szCs w:val="28"/>
        </w:rPr>
        <w:t>Комплексная целевая программа «Столичная культура: 2019–2021 гг.»: перспективы развития музейно-библиотечной отрасли</w:t>
      </w:r>
      <w:r w:rsidR="007230B2">
        <w:rPr>
          <w:rFonts w:ascii="Times New Roman" w:hAnsi="Times New Roman" w:cs="Times New Roman"/>
          <w:sz w:val="28"/>
          <w:szCs w:val="28"/>
        </w:rPr>
        <w:t xml:space="preserve"> Киева</w:t>
      </w:r>
    </w:p>
    <w:p w:rsidR="00234A75" w:rsidRPr="00234A75" w:rsidRDefault="00234A75" w:rsidP="001C4C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complex targeted program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4A75">
        <w:rPr>
          <w:rFonts w:ascii="Times New Roman" w:hAnsi="Times New Roman" w:cs="Times New Roman"/>
          <w:sz w:val="28"/>
          <w:szCs w:val="28"/>
          <w:lang w:val="en-US"/>
        </w:rPr>
        <w:t>The Culture o</w:t>
      </w:r>
      <w:r>
        <w:rPr>
          <w:rFonts w:ascii="Times New Roman" w:hAnsi="Times New Roman" w:cs="Times New Roman"/>
          <w:sz w:val="28"/>
          <w:szCs w:val="28"/>
          <w:lang w:val="en-US"/>
        </w:rPr>
        <w:t>f Capital Cities: 2019 – 2021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4A75">
        <w:rPr>
          <w:rFonts w:ascii="Times New Roman" w:hAnsi="Times New Roman" w:cs="Times New Roman"/>
          <w:sz w:val="28"/>
          <w:szCs w:val="28"/>
          <w:lang w:val="en-US"/>
        </w:rPr>
        <w:t>: the perspectives of the development of museum and libraries’ infrastructure of Kyiv</w:t>
      </w:r>
    </w:p>
    <w:p w:rsidR="001C4C89" w:rsidRDefault="00D8154F" w:rsidP="001C4C8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Рассматриваються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перспективы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развития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музеев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библиотек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Киева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>соответствии</w:t>
      </w:r>
      <w:proofErr w:type="spellEnd"/>
      <w:r w:rsidRPr="00234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r w:rsidR="007C0345" w:rsidRPr="00234A75">
        <w:rPr>
          <w:rFonts w:ascii="Times New Roman" w:hAnsi="Times New Roman" w:cs="Times New Roman"/>
          <w:i/>
          <w:sz w:val="28"/>
          <w:szCs w:val="28"/>
        </w:rPr>
        <w:t>Комплексной городской целевой программой</w:t>
      </w:r>
      <w:r w:rsidRPr="00234A75">
        <w:rPr>
          <w:rFonts w:ascii="Times New Roman" w:hAnsi="Times New Roman" w:cs="Times New Roman"/>
          <w:i/>
          <w:sz w:val="28"/>
          <w:szCs w:val="28"/>
        </w:rPr>
        <w:t xml:space="preserve"> «Столичная культура: 2019–2021 годы».</w:t>
      </w:r>
    </w:p>
    <w:p w:rsidR="002A5F10" w:rsidRPr="003B7FBB" w:rsidRDefault="003B7FBB" w:rsidP="001C4C8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B7FBB">
        <w:rPr>
          <w:rFonts w:ascii="Times New Roman" w:hAnsi="Times New Roman" w:cs="Times New Roman"/>
          <w:i/>
          <w:sz w:val="28"/>
          <w:szCs w:val="28"/>
          <w:lang w:val="en-US"/>
        </w:rPr>
        <w:t>The overview of the perspectives of the development of the museums and libraries of Kyiv is made, according to the Complex Targeted City Program “The Culture of Capital Cities: 2019 – 2021”.</w:t>
      </w:r>
    </w:p>
    <w:p w:rsidR="00D8154F" w:rsidRDefault="00D8154F" w:rsidP="00177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E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BE00E5">
        <w:rPr>
          <w:rFonts w:ascii="Times New Roman" w:hAnsi="Times New Roman" w:cs="Times New Roman"/>
          <w:sz w:val="28"/>
          <w:szCs w:val="28"/>
        </w:rPr>
        <w:t xml:space="preserve"> целевая программа «Столичная культура», </w:t>
      </w:r>
      <w:r w:rsidR="001779DF">
        <w:rPr>
          <w:rFonts w:ascii="Times New Roman" w:hAnsi="Times New Roman" w:cs="Times New Roman"/>
          <w:sz w:val="28"/>
          <w:szCs w:val="28"/>
        </w:rPr>
        <w:t xml:space="preserve">библиотеки, музеи, современное коммуникационное пространство, популяризация чтения,  социальное </w:t>
      </w:r>
      <w:r w:rsidR="001779DF" w:rsidRPr="001779DF">
        <w:rPr>
          <w:rFonts w:ascii="Times New Roman" w:hAnsi="Times New Roman" w:cs="Times New Roman"/>
          <w:sz w:val="28"/>
          <w:szCs w:val="28"/>
        </w:rPr>
        <w:t xml:space="preserve"> парт</w:t>
      </w:r>
      <w:r w:rsidR="001779DF">
        <w:rPr>
          <w:rFonts w:ascii="Times New Roman" w:hAnsi="Times New Roman" w:cs="Times New Roman"/>
          <w:sz w:val="28"/>
          <w:szCs w:val="28"/>
        </w:rPr>
        <w:t>нерство,</w:t>
      </w:r>
      <w:r w:rsidR="001779DF" w:rsidRPr="001779DF">
        <w:rPr>
          <w:rFonts w:ascii="Times New Roman" w:hAnsi="Times New Roman" w:cs="Times New Roman"/>
          <w:sz w:val="28"/>
          <w:szCs w:val="28"/>
        </w:rPr>
        <w:t xml:space="preserve"> автомати</w:t>
      </w:r>
      <w:r w:rsidR="001779DF">
        <w:rPr>
          <w:rFonts w:ascii="Times New Roman" w:hAnsi="Times New Roman" w:cs="Times New Roman"/>
          <w:sz w:val="28"/>
          <w:szCs w:val="28"/>
        </w:rPr>
        <w:t xml:space="preserve">зация библиотечных процессов, </w:t>
      </w:r>
      <w:r w:rsidR="001779DF" w:rsidRPr="001779DF">
        <w:rPr>
          <w:rFonts w:ascii="Times New Roman" w:hAnsi="Times New Roman" w:cs="Times New Roman"/>
          <w:sz w:val="28"/>
          <w:szCs w:val="28"/>
        </w:rPr>
        <w:t>приспособление инфраструктуры библиотек для людей с особыми потребностями.</w:t>
      </w:r>
    </w:p>
    <w:p w:rsidR="00D8154F" w:rsidRPr="003D7720" w:rsidRDefault="00D8154F" w:rsidP="00E957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8154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Keywords</w:t>
      </w:r>
      <w:r w:rsidRPr="003B7FB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:</w:t>
      </w:r>
      <w:r w:rsidR="003B7F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B7FBB" w:rsidRPr="003B7FB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Complex Targeted City Program “The Culture of Capital Cities”, libraries, museums, modern communication space, popularization of reading, social partnerships, </w:t>
      </w:r>
      <w:proofErr w:type="spellStart"/>
      <w:r w:rsidR="003B7FBB" w:rsidRPr="003B7FBB">
        <w:rPr>
          <w:rFonts w:ascii="Times New Roman" w:hAnsi="Times New Roman" w:cs="Times New Roman"/>
          <w:bCs/>
          <w:iCs/>
          <w:sz w:val="28"/>
          <w:szCs w:val="28"/>
          <w:lang w:val="en-US"/>
        </w:rPr>
        <w:t>automatization</w:t>
      </w:r>
      <w:proofErr w:type="spellEnd"/>
      <w:r w:rsidR="003B7FBB" w:rsidRPr="003B7FB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library internal processes, adapting libraries infrastructure for people with disabilities.</w:t>
      </w:r>
    </w:p>
    <w:p w:rsidR="00E83107" w:rsidRDefault="005114A6" w:rsidP="00E831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Трансформац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культурных учреждений, в том числе музеев и библиотек, в соответствии с современными требованиями и ожиданиями в первую очередь пользователей культурно-информационной продукции является необходимым условием успешной деятельности данной отрасли. «Стратегия устой</w:t>
      </w:r>
      <w:r w:rsidR="00E83107">
        <w:rPr>
          <w:rFonts w:ascii="Times New Roman" w:hAnsi="Times New Roman" w:cs="Times New Roman"/>
          <w:sz w:val="28"/>
          <w:szCs w:val="28"/>
        </w:rPr>
        <w:t xml:space="preserve">чивого развития «Украина–2020» </w:t>
      </w:r>
      <w:r w:rsidR="00E83107" w:rsidRPr="00E83107">
        <w:rPr>
          <w:rFonts w:ascii="Times New Roman" w:hAnsi="Times New Roman" w:cs="Times New Roman"/>
          <w:sz w:val="28"/>
          <w:szCs w:val="28"/>
        </w:rPr>
        <w:t>[</w:t>
      </w:r>
      <w:r w:rsidR="00E83107">
        <w:rPr>
          <w:rFonts w:ascii="Times New Roman" w:hAnsi="Times New Roman" w:cs="Times New Roman"/>
          <w:sz w:val="28"/>
          <w:szCs w:val="28"/>
        </w:rPr>
        <w:t>1</w:t>
      </w:r>
      <w:r w:rsidR="00E83107" w:rsidRPr="00E83107">
        <w:rPr>
          <w:rFonts w:ascii="Times New Roman" w:hAnsi="Times New Roman" w:cs="Times New Roman"/>
          <w:sz w:val="28"/>
          <w:szCs w:val="28"/>
        </w:rPr>
        <w:t>]</w:t>
      </w:r>
      <w:r w:rsidR="00E83107">
        <w:rPr>
          <w:rFonts w:ascii="Times New Roman" w:hAnsi="Times New Roman" w:cs="Times New Roman"/>
          <w:sz w:val="28"/>
          <w:szCs w:val="28"/>
        </w:rPr>
        <w:t xml:space="preserve">, целью которой является внедрение в Украине европейских стандартов жизни и выход Украины на ведущие позиции в мире, определила одним из наиважнейших векторов развития вектор гордости – обеспечение взаимного уважения и толерантности в обществе, гордости за свое государство, его историю, культуру, науку, спорт. </w:t>
      </w:r>
    </w:p>
    <w:p w:rsidR="00F56E6C" w:rsidRDefault="003E0A9C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«Стратегия развития библиотечного дела на период до 2025 г. «Качественные изменения библиотек для обеспечения устойчивого развития Украины» </w:t>
      </w:r>
      <w:r w:rsidRPr="003E0A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A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F27ED7">
        <w:rPr>
          <w:rFonts w:ascii="Times New Roman" w:hAnsi="Times New Roman" w:cs="Times New Roman"/>
          <w:sz w:val="28"/>
          <w:szCs w:val="28"/>
        </w:rPr>
        <w:t>ляет приоритеты деятельности библиотек в у</w:t>
      </w:r>
      <w:r w:rsidR="00F56E6C">
        <w:rPr>
          <w:rFonts w:ascii="Times New Roman" w:hAnsi="Times New Roman" w:cs="Times New Roman"/>
          <w:sz w:val="28"/>
          <w:szCs w:val="28"/>
        </w:rPr>
        <w:t>словиях качественных изменений и стратегические направления</w:t>
      </w:r>
      <w:r w:rsidR="00F27ED7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F56E6C">
        <w:rPr>
          <w:rFonts w:ascii="Times New Roman" w:hAnsi="Times New Roman" w:cs="Times New Roman"/>
          <w:sz w:val="28"/>
          <w:szCs w:val="28"/>
        </w:rPr>
        <w:t xml:space="preserve">ия библиотечного дела: </w:t>
      </w:r>
      <w:r w:rsidR="00F27ED7">
        <w:rPr>
          <w:rFonts w:ascii="Times New Roman" w:hAnsi="Times New Roman" w:cs="Times New Roman"/>
          <w:sz w:val="28"/>
          <w:szCs w:val="28"/>
        </w:rPr>
        <w:t xml:space="preserve">создание новой архитектуры интегрированной библиотечной системы государства на основе универсального доступа и </w:t>
      </w:r>
      <w:r w:rsidR="00F56E6C">
        <w:rPr>
          <w:rFonts w:ascii="Times New Roman" w:hAnsi="Times New Roman" w:cs="Times New Roman"/>
          <w:sz w:val="28"/>
          <w:szCs w:val="28"/>
        </w:rPr>
        <w:t>экономической целесообразности;</w:t>
      </w:r>
      <w:r w:rsidR="002345DB">
        <w:rPr>
          <w:rFonts w:ascii="Times New Roman" w:hAnsi="Times New Roman" w:cs="Times New Roman"/>
          <w:sz w:val="28"/>
          <w:szCs w:val="28"/>
        </w:rPr>
        <w:t xml:space="preserve"> </w:t>
      </w:r>
      <w:r w:rsidR="00977369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и информационно-технологическ</w:t>
      </w:r>
      <w:r w:rsidR="00F56E6C">
        <w:rPr>
          <w:rFonts w:ascii="Times New Roman" w:hAnsi="Times New Roman" w:cs="Times New Roman"/>
          <w:sz w:val="28"/>
          <w:szCs w:val="28"/>
        </w:rPr>
        <w:t>ой инфраструктуры библиотек;</w:t>
      </w:r>
      <w:proofErr w:type="gramEnd"/>
      <w:r w:rsidR="00F56E6C">
        <w:rPr>
          <w:rFonts w:ascii="Times New Roman" w:hAnsi="Times New Roman" w:cs="Times New Roman"/>
          <w:sz w:val="28"/>
          <w:szCs w:val="28"/>
        </w:rPr>
        <w:t xml:space="preserve"> </w:t>
      </w:r>
      <w:r w:rsidR="00977369">
        <w:rPr>
          <w:rFonts w:ascii="Times New Roman" w:hAnsi="Times New Roman" w:cs="Times New Roman"/>
          <w:sz w:val="28"/>
          <w:szCs w:val="28"/>
        </w:rPr>
        <w:t xml:space="preserve">интенсивное развитие и актуализация </w:t>
      </w:r>
      <w:proofErr w:type="spellStart"/>
      <w:r w:rsidR="00977369">
        <w:rPr>
          <w:rFonts w:ascii="Times New Roman" w:hAnsi="Times New Roman" w:cs="Times New Roman"/>
          <w:sz w:val="28"/>
          <w:szCs w:val="28"/>
        </w:rPr>
        <w:t>документно</w:t>
      </w:r>
      <w:proofErr w:type="spellEnd"/>
      <w:r w:rsidR="00977369">
        <w:rPr>
          <w:rFonts w:ascii="Times New Roman" w:hAnsi="Times New Roman" w:cs="Times New Roman"/>
          <w:sz w:val="28"/>
          <w:szCs w:val="28"/>
        </w:rPr>
        <w:t>-информационных ресурсов библиотек на традиционных и электронных носителях</w:t>
      </w:r>
      <w:r w:rsidR="00F56E6C">
        <w:rPr>
          <w:rFonts w:ascii="Times New Roman" w:hAnsi="Times New Roman" w:cs="Times New Roman"/>
          <w:sz w:val="28"/>
          <w:szCs w:val="28"/>
        </w:rPr>
        <w:t xml:space="preserve">, обеспечение доступа к ним; </w:t>
      </w:r>
      <w:r w:rsidR="00977369">
        <w:rPr>
          <w:rFonts w:ascii="Times New Roman" w:hAnsi="Times New Roman" w:cs="Times New Roman"/>
          <w:sz w:val="28"/>
          <w:szCs w:val="28"/>
        </w:rPr>
        <w:t>развитие чтения через систему социального партнерства; сохранение украинского культурного наследия в</w:t>
      </w:r>
      <w:r w:rsidR="00F56E6C">
        <w:rPr>
          <w:rFonts w:ascii="Times New Roman" w:hAnsi="Times New Roman" w:cs="Times New Roman"/>
          <w:sz w:val="28"/>
          <w:szCs w:val="28"/>
        </w:rPr>
        <w:t xml:space="preserve"> части документных ресурсов; </w:t>
      </w:r>
      <w:r w:rsidR="00977369">
        <w:rPr>
          <w:rFonts w:ascii="Times New Roman" w:hAnsi="Times New Roman" w:cs="Times New Roman"/>
          <w:sz w:val="28"/>
          <w:szCs w:val="28"/>
        </w:rPr>
        <w:t xml:space="preserve">развитие эффективных коммуникаций. </w:t>
      </w:r>
    </w:p>
    <w:p w:rsidR="00E73B75" w:rsidRDefault="0081130F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Украины «О музеях и музейном деле» </w:t>
      </w:r>
      <w:r w:rsidRPr="008113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13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среди основных направлений музейной политики определяет обеспечение социально-экономических, правовых и научных условий для эффективной деятельности музеев, содействие формированию современной</w:t>
      </w:r>
      <w:r w:rsidR="00842E4F">
        <w:rPr>
          <w:rFonts w:ascii="Times New Roman" w:hAnsi="Times New Roman" w:cs="Times New Roman"/>
          <w:sz w:val="28"/>
          <w:szCs w:val="28"/>
        </w:rPr>
        <w:t xml:space="preserve"> инфраструктуры музейного дела</w:t>
      </w:r>
      <w:r>
        <w:rPr>
          <w:rFonts w:ascii="Times New Roman" w:hAnsi="Times New Roman" w:cs="Times New Roman"/>
          <w:sz w:val="28"/>
          <w:szCs w:val="28"/>
        </w:rPr>
        <w:t>, содействие международному сотрудничеству в сфере музейного дела.</w:t>
      </w:r>
    </w:p>
    <w:p w:rsidR="008775CF" w:rsidRDefault="0081130F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2018 г. на пленарном заседании Киевского городского совета депутаты утвердили </w:t>
      </w:r>
      <w:r w:rsidR="00F56E6C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>
        <w:rPr>
          <w:rFonts w:ascii="Times New Roman" w:hAnsi="Times New Roman" w:cs="Times New Roman"/>
          <w:sz w:val="28"/>
          <w:szCs w:val="28"/>
        </w:rPr>
        <w:t>городскую целевую программу «Столичная культура: 2019–2021 годы»</w:t>
      </w:r>
      <w:r w:rsidR="00F56E6C" w:rsidRPr="00F56E6C">
        <w:rPr>
          <w:rFonts w:ascii="Times New Roman" w:hAnsi="Times New Roman" w:cs="Times New Roman"/>
          <w:sz w:val="28"/>
          <w:szCs w:val="28"/>
        </w:rPr>
        <w:t xml:space="preserve"> (далее – Комплексная программа) </w:t>
      </w:r>
      <w:r w:rsidR="00897511">
        <w:rPr>
          <w:rFonts w:ascii="Times New Roman" w:hAnsi="Times New Roman" w:cs="Times New Roman"/>
          <w:sz w:val="28"/>
          <w:szCs w:val="28"/>
        </w:rPr>
        <w:t xml:space="preserve"> </w:t>
      </w:r>
      <w:r w:rsidR="00897511" w:rsidRPr="00897511">
        <w:rPr>
          <w:rFonts w:ascii="Times New Roman" w:hAnsi="Times New Roman" w:cs="Times New Roman"/>
          <w:sz w:val="28"/>
          <w:szCs w:val="28"/>
        </w:rPr>
        <w:t>[</w:t>
      </w:r>
      <w:r w:rsidR="00897511">
        <w:rPr>
          <w:rFonts w:ascii="Times New Roman" w:hAnsi="Times New Roman" w:cs="Times New Roman"/>
          <w:sz w:val="28"/>
          <w:szCs w:val="28"/>
        </w:rPr>
        <w:t>4</w:t>
      </w:r>
      <w:r w:rsidR="00897511" w:rsidRPr="00897511">
        <w:rPr>
          <w:rFonts w:ascii="Times New Roman" w:hAnsi="Times New Roman" w:cs="Times New Roman"/>
          <w:sz w:val="28"/>
          <w:szCs w:val="28"/>
        </w:rPr>
        <w:t>]</w:t>
      </w:r>
      <w:r w:rsidR="00897511">
        <w:rPr>
          <w:rFonts w:ascii="Times New Roman" w:hAnsi="Times New Roman" w:cs="Times New Roman"/>
          <w:sz w:val="28"/>
          <w:szCs w:val="28"/>
        </w:rPr>
        <w:t>. Инициатором разработки программы стал департамент культуры исполнительного органа Киевского городского совета (Киевской городской государственной а</w:t>
      </w:r>
      <w:r w:rsidR="001D75D3">
        <w:rPr>
          <w:rFonts w:ascii="Times New Roman" w:hAnsi="Times New Roman" w:cs="Times New Roman"/>
          <w:sz w:val="28"/>
          <w:szCs w:val="28"/>
        </w:rPr>
        <w:t>дминистраци</w:t>
      </w:r>
      <w:r w:rsidR="00897511">
        <w:rPr>
          <w:rFonts w:ascii="Times New Roman" w:hAnsi="Times New Roman" w:cs="Times New Roman"/>
          <w:sz w:val="28"/>
          <w:szCs w:val="28"/>
        </w:rPr>
        <w:t xml:space="preserve">и). </w:t>
      </w:r>
      <w:r w:rsidR="00F56E6C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8775CF">
        <w:rPr>
          <w:rFonts w:ascii="Times New Roman" w:hAnsi="Times New Roman" w:cs="Times New Roman"/>
          <w:sz w:val="28"/>
          <w:szCs w:val="28"/>
        </w:rPr>
        <w:t xml:space="preserve"> программа включает в себя пять подпрограмм: </w:t>
      </w:r>
      <w:r w:rsidR="003E5551">
        <w:rPr>
          <w:rFonts w:ascii="Times New Roman" w:hAnsi="Times New Roman" w:cs="Times New Roman"/>
          <w:sz w:val="28"/>
          <w:szCs w:val="28"/>
        </w:rPr>
        <w:t xml:space="preserve">1) Городская целевая программа «Киев музейно-просветительский»; 2) </w:t>
      </w:r>
      <w:r w:rsidR="003E5551" w:rsidRPr="003E5551">
        <w:rPr>
          <w:rFonts w:ascii="Times New Roman" w:hAnsi="Times New Roman" w:cs="Times New Roman"/>
          <w:sz w:val="28"/>
          <w:szCs w:val="28"/>
        </w:rPr>
        <w:t>Городская целевая программа</w:t>
      </w:r>
      <w:r w:rsidR="003E5551">
        <w:rPr>
          <w:rFonts w:ascii="Times New Roman" w:hAnsi="Times New Roman" w:cs="Times New Roman"/>
          <w:sz w:val="28"/>
          <w:szCs w:val="28"/>
        </w:rPr>
        <w:t xml:space="preserve"> «Киев художественный»; 3) </w:t>
      </w:r>
      <w:r w:rsidR="003E5551" w:rsidRPr="003E5551">
        <w:rPr>
          <w:rFonts w:ascii="Times New Roman" w:hAnsi="Times New Roman" w:cs="Times New Roman"/>
          <w:sz w:val="28"/>
          <w:szCs w:val="28"/>
        </w:rPr>
        <w:t>Городская целевая программа</w:t>
      </w:r>
      <w:r w:rsidR="003E5551">
        <w:rPr>
          <w:rFonts w:ascii="Times New Roman" w:hAnsi="Times New Roman" w:cs="Times New Roman"/>
          <w:sz w:val="28"/>
          <w:szCs w:val="28"/>
        </w:rPr>
        <w:t xml:space="preserve"> «Киевский зоологический парк общегосударственного значения»; 4) </w:t>
      </w:r>
      <w:r w:rsidR="003E5551" w:rsidRPr="003E5551">
        <w:rPr>
          <w:rFonts w:ascii="Times New Roman" w:hAnsi="Times New Roman" w:cs="Times New Roman"/>
          <w:sz w:val="28"/>
          <w:szCs w:val="28"/>
        </w:rPr>
        <w:t>Городская целевая программа</w:t>
      </w:r>
      <w:r w:rsidR="003E5551">
        <w:rPr>
          <w:rFonts w:ascii="Times New Roman" w:hAnsi="Times New Roman" w:cs="Times New Roman"/>
          <w:sz w:val="28"/>
          <w:szCs w:val="28"/>
        </w:rPr>
        <w:t xml:space="preserve"> «Киев этнический»; 5) </w:t>
      </w:r>
      <w:r w:rsidR="003E5551" w:rsidRPr="003E5551">
        <w:rPr>
          <w:rFonts w:ascii="Times New Roman" w:hAnsi="Times New Roman" w:cs="Times New Roman"/>
          <w:sz w:val="28"/>
          <w:szCs w:val="28"/>
        </w:rPr>
        <w:t>Городская целевая программа</w:t>
      </w:r>
      <w:r w:rsidR="003E5551">
        <w:rPr>
          <w:rFonts w:ascii="Times New Roman" w:hAnsi="Times New Roman" w:cs="Times New Roman"/>
          <w:sz w:val="28"/>
          <w:szCs w:val="28"/>
        </w:rPr>
        <w:t xml:space="preserve"> «Киев духовный». </w:t>
      </w:r>
    </w:p>
    <w:p w:rsidR="00D56E4D" w:rsidRDefault="003D76AF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Ведя речь</w:t>
      </w:r>
      <w:r w:rsidR="00366BD8">
        <w:rPr>
          <w:rFonts w:ascii="Times New Roman" w:hAnsi="Times New Roman" w:cs="Times New Roman"/>
          <w:sz w:val="28"/>
          <w:szCs w:val="28"/>
          <w:lang w:val="uk-UA"/>
        </w:rPr>
        <w:t xml:space="preserve"> о перспективах </w:t>
      </w:r>
      <w:proofErr w:type="spellStart"/>
      <w:r w:rsidR="00366BD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366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6BD8"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 w:rsidR="00366BD8">
        <w:rPr>
          <w:rFonts w:ascii="Times New Roman" w:hAnsi="Times New Roman" w:cs="Times New Roman"/>
          <w:sz w:val="28"/>
          <w:szCs w:val="28"/>
        </w:rPr>
        <w:t>й и библиотечной сферы Киева, следует отметить, что на 2017 г. количество муз</w:t>
      </w:r>
      <w:r w:rsidR="00B06FD0">
        <w:rPr>
          <w:rFonts w:ascii="Times New Roman" w:hAnsi="Times New Roman" w:cs="Times New Roman"/>
          <w:sz w:val="28"/>
          <w:szCs w:val="28"/>
        </w:rPr>
        <w:t xml:space="preserve">еев/галерей города составило 22; </w:t>
      </w:r>
      <w:r w:rsidR="00366BD8">
        <w:rPr>
          <w:rFonts w:ascii="Times New Roman" w:hAnsi="Times New Roman" w:cs="Times New Roman"/>
          <w:sz w:val="28"/>
          <w:szCs w:val="28"/>
        </w:rPr>
        <w:t>количе</w:t>
      </w:r>
      <w:r w:rsidR="003D7720">
        <w:rPr>
          <w:rFonts w:ascii="Times New Roman" w:hAnsi="Times New Roman" w:cs="Times New Roman"/>
          <w:sz w:val="28"/>
          <w:szCs w:val="28"/>
        </w:rPr>
        <w:t>ство экспонатов в них 1020,39 ты</w:t>
      </w:r>
      <w:r w:rsidR="00366BD8">
        <w:rPr>
          <w:rFonts w:ascii="Times New Roman" w:hAnsi="Times New Roman" w:cs="Times New Roman"/>
          <w:sz w:val="28"/>
          <w:szCs w:val="28"/>
        </w:rPr>
        <w:t>с. единиц</w:t>
      </w:r>
      <w:r w:rsidR="00B06FD0">
        <w:rPr>
          <w:rFonts w:ascii="Times New Roman" w:hAnsi="Times New Roman" w:cs="Times New Roman"/>
          <w:sz w:val="28"/>
          <w:szCs w:val="28"/>
        </w:rPr>
        <w:t>;</w:t>
      </w:r>
      <w:r w:rsidR="003D7720">
        <w:rPr>
          <w:rFonts w:ascii="Times New Roman" w:hAnsi="Times New Roman" w:cs="Times New Roman"/>
          <w:sz w:val="28"/>
          <w:szCs w:val="28"/>
        </w:rPr>
        <w:t xml:space="preserve"> музеи посетило 993, 54 ты</w:t>
      </w:r>
      <w:r w:rsidR="00366BD8">
        <w:rPr>
          <w:rFonts w:ascii="Times New Roman" w:hAnsi="Times New Roman" w:cs="Times New Roman"/>
          <w:sz w:val="28"/>
          <w:szCs w:val="28"/>
        </w:rPr>
        <w:t>с. лиц. Количество публичных библиотек столицы на 2017 г. составило 139, из них 3 – центральные городские библиотеки, 136 – библиотеки районного подчинения</w:t>
      </w:r>
      <w:r w:rsidR="00B06FD0">
        <w:rPr>
          <w:rFonts w:ascii="Times New Roman" w:hAnsi="Times New Roman" w:cs="Times New Roman"/>
          <w:sz w:val="28"/>
          <w:szCs w:val="28"/>
        </w:rPr>
        <w:t>; книжный фонд централ</w:t>
      </w:r>
      <w:r w:rsidR="003D7720">
        <w:rPr>
          <w:rFonts w:ascii="Times New Roman" w:hAnsi="Times New Roman" w:cs="Times New Roman"/>
          <w:sz w:val="28"/>
          <w:szCs w:val="28"/>
        </w:rPr>
        <w:t>ьных библиотек составил 470,0 ты</w:t>
      </w:r>
      <w:r w:rsidR="00B06FD0">
        <w:rPr>
          <w:rFonts w:ascii="Times New Roman" w:hAnsi="Times New Roman" w:cs="Times New Roman"/>
          <w:sz w:val="28"/>
          <w:szCs w:val="28"/>
        </w:rPr>
        <w:t>с. экземпляров,</w:t>
      </w:r>
      <w:r w:rsidR="00B06FD0" w:rsidRPr="00B06FD0">
        <w:rPr>
          <w:rFonts w:ascii="Times New Roman" w:hAnsi="Times New Roman" w:cs="Times New Roman"/>
          <w:sz w:val="28"/>
          <w:szCs w:val="28"/>
        </w:rPr>
        <w:t xml:space="preserve"> книжный фонд</w:t>
      </w:r>
      <w:r w:rsidR="00B06FD0">
        <w:rPr>
          <w:rFonts w:ascii="Times New Roman" w:hAnsi="Times New Roman" w:cs="Times New Roman"/>
          <w:sz w:val="28"/>
          <w:szCs w:val="28"/>
        </w:rPr>
        <w:t xml:space="preserve"> районных библиотек составил 3964,0</w:t>
      </w:r>
      <w:r w:rsidR="003D7720">
        <w:rPr>
          <w:rFonts w:ascii="Times New Roman" w:hAnsi="Times New Roman" w:cs="Times New Roman"/>
          <w:sz w:val="28"/>
          <w:szCs w:val="28"/>
        </w:rPr>
        <w:t xml:space="preserve"> ты</w:t>
      </w:r>
      <w:r w:rsidR="00B06FD0" w:rsidRPr="00B06FD0">
        <w:rPr>
          <w:rFonts w:ascii="Times New Roman" w:hAnsi="Times New Roman" w:cs="Times New Roman"/>
          <w:sz w:val="28"/>
          <w:szCs w:val="28"/>
        </w:rPr>
        <w:t>с. экземпляров</w:t>
      </w:r>
      <w:r w:rsidR="00B06FD0">
        <w:rPr>
          <w:rFonts w:ascii="Times New Roman" w:hAnsi="Times New Roman" w:cs="Times New Roman"/>
          <w:sz w:val="28"/>
          <w:szCs w:val="28"/>
        </w:rPr>
        <w:t>; централ</w:t>
      </w:r>
      <w:r w:rsidR="003D7720">
        <w:rPr>
          <w:rFonts w:ascii="Times New Roman" w:hAnsi="Times New Roman" w:cs="Times New Roman"/>
          <w:sz w:val="28"/>
          <w:szCs w:val="28"/>
        </w:rPr>
        <w:t>ьные библиотеки посетили 48,3 ты</w:t>
      </w:r>
      <w:r w:rsidR="00B06FD0">
        <w:rPr>
          <w:rFonts w:ascii="Times New Roman" w:hAnsi="Times New Roman" w:cs="Times New Roman"/>
          <w:sz w:val="28"/>
          <w:szCs w:val="28"/>
        </w:rPr>
        <w:t>с</w:t>
      </w:r>
      <w:r w:rsidR="003D77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06FD0">
        <w:rPr>
          <w:rFonts w:ascii="Times New Roman" w:hAnsi="Times New Roman" w:cs="Times New Roman"/>
          <w:sz w:val="28"/>
          <w:szCs w:val="28"/>
        </w:rPr>
        <w:t xml:space="preserve"> читателей, районные – 425,5 тыс. читателей. Деятельность музеев и библиотек Киева характеризовалась как достижениями, так и проблемами. Так, среди достижений 2016–2018 гг.</w:t>
      </w:r>
      <w:r w:rsidR="00F56E6C">
        <w:rPr>
          <w:rFonts w:ascii="Times New Roman" w:hAnsi="Times New Roman" w:cs="Times New Roman"/>
          <w:sz w:val="28"/>
          <w:szCs w:val="28"/>
        </w:rPr>
        <w:t xml:space="preserve"> в музейной сфере открытие новых</w:t>
      </w:r>
      <w:r w:rsidR="00B06FD0">
        <w:rPr>
          <w:rFonts w:ascii="Times New Roman" w:hAnsi="Times New Roman" w:cs="Times New Roman"/>
          <w:sz w:val="28"/>
          <w:szCs w:val="28"/>
        </w:rPr>
        <w:t xml:space="preserve"> музеев и экспозиций; переформатирование пространств музеев, в частности, в Литературно-мемориальном музее П.Г. Тычины после ремонтных работ на первом этаже создано современное пространство, где каждая из комнат (детская, </w:t>
      </w:r>
      <w:proofErr w:type="spellStart"/>
      <w:r w:rsidR="00B06FD0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="00B06FD0">
        <w:rPr>
          <w:rFonts w:ascii="Times New Roman" w:hAnsi="Times New Roman" w:cs="Times New Roman"/>
          <w:sz w:val="28"/>
          <w:szCs w:val="28"/>
        </w:rPr>
        <w:t xml:space="preserve">, лекторская) имеет отдельное предназначение и посетители могут стать участниками </w:t>
      </w:r>
      <w:r w:rsidR="005B1894">
        <w:rPr>
          <w:rFonts w:ascii="Times New Roman" w:hAnsi="Times New Roman" w:cs="Times New Roman"/>
          <w:sz w:val="28"/>
          <w:szCs w:val="28"/>
        </w:rPr>
        <w:t>нескольких действ; проведено более 5000 мероприятий выставочной и культурно-образовательной деятельности, среди которых «</w:t>
      </w:r>
      <w:r w:rsidR="005B1894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5B1894" w:rsidRPr="005B1894">
        <w:rPr>
          <w:rFonts w:ascii="Times New Roman" w:hAnsi="Times New Roman" w:cs="Times New Roman"/>
          <w:sz w:val="28"/>
          <w:szCs w:val="28"/>
        </w:rPr>
        <w:t xml:space="preserve"> </w:t>
      </w:r>
      <w:r w:rsidR="005B189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5B1894" w:rsidRPr="005B1894">
        <w:rPr>
          <w:rFonts w:ascii="Times New Roman" w:hAnsi="Times New Roman" w:cs="Times New Roman"/>
          <w:sz w:val="28"/>
          <w:szCs w:val="28"/>
        </w:rPr>
        <w:t xml:space="preserve"> </w:t>
      </w:r>
      <w:r w:rsidR="005B18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5B189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B1894">
        <w:rPr>
          <w:rFonts w:ascii="Times New Roman" w:hAnsi="Times New Roman" w:cs="Times New Roman"/>
          <w:sz w:val="28"/>
          <w:szCs w:val="28"/>
        </w:rPr>
        <w:t>межмузейный</w:t>
      </w:r>
      <w:proofErr w:type="spellEnd"/>
      <w:r w:rsidR="005B1894">
        <w:rPr>
          <w:rFonts w:ascii="Times New Roman" w:hAnsi="Times New Roman" w:cs="Times New Roman"/>
          <w:sz w:val="28"/>
          <w:szCs w:val="28"/>
        </w:rPr>
        <w:t xml:space="preserve"> культурологический проект «Чумацкий путь», </w:t>
      </w:r>
      <w:r w:rsidR="003C455F">
        <w:rPr>
          <w:rFonts w:ascii="Times New Roman" w:hAnsi="Times New Roman" w:cs="Times New Roman"/>
          <w:sz w:val="28"/>
          <w:szCs w:val="28"/>
        </w:rPr>
        <w:t>культурно-социальный проект «</w:t>
      </w:r>
      <w:r w:rsidR="003C455F" w:rsidRPr="003C455F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3C455F" w:rsidRPr="003C455F">
        <w:rPr>
          <w:rFonts w:ascii="Times New Roman" w:hAnsi="Times New Roman" w:cs="Times New Roman"/>
          <w:sz w:val="28"/>
          <w:szCs w:val="28"/>
        </w:rPr>
        <w:t xml:space="preserve"> </w:t>
      </w:r>
      <w:r w:rsidR="003C455F" w:rsidRPr="003C455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3C455F">
        <w:rPr>
          <w:rFonts w:ascii="Times New Roman" w:hAnsi="Times New Roman" w:cs="Times New Roman"/>
          <w:sz w:val="28"/>
          <w:szCs w:val="28"/>
        </w:rPr>
        <w:t xml:space="preserve"> </w:t>
      </w:r>
      <w:r w:rsidR="003C455F">
        <w:rPr>
          <w:rFonts w:ascii="Times New Roman" w:hAnsi="Times New Roman" w:cs="Times New Roman"/>
          <w:sz w:val="28"/>
          <w:szCs w:val="28"/>
          <w:lang w:val="en-US"/>
        </w:rPr>
        <w:t>FORT</w:t>
      </w:r>
      <w:r w:rsidR="003C455F">
        <w:rPr>
          <w:rFonts w:ascii="Times New Roman" w:hAnsi="Times New Roman" w:cs="Times New Roman"/>
          <w:sz w:val="28"/>
          <w:szCs w:val="28"/>
        </w:rPr>
        <w:t xml:space="preserve"> 2017. Планер современного искусства» на территории Национального историко-архитектурного музея «Киевская крепость» и многое другое. </w:t>
      </w:r>
    </w:p>
    <w:p w:rsidR="00055E82" w:rsidRDefault="003C455F" w:rsidP="00F56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интересами жителей конкретных районов города </w:t>
      </w:r>
      <w:r w:rsidR="00C676DB">
        <w:rPr>
          <w:rFonts w:ascii="Times New Roman" w:hAnsi="Times New Roman" w:cs="Times New Roman"/>
          <w:sz w:val="28"/>
          <w:szCs w:val="28"/>
        </w:rPr>
        <w:t>начаты системные изменения в развитии публичных библиотек города.</w:t>
      </w:r>
      <w:r w:rsidR="00774DEB">
        <w:rPr>
          <w:rFonts w:ascii="Times New Roman" w:hAnsi="Times New Roman" w:cs="Times New Roman"/>
          <w:sz w:val="28"/>
          <w:szCs w:val="28"/>
        </w:rPr>
        <w:t xml:space="preserve"> Так, 5 марта 2019 г. состоялось официальное открытие обновленной Центральной библиотеки им. Т.Г. Шевченко </w:t>
      </w:r>
      <w:r w:rsidR="009506EC">
        <w:rPr>
          <w:rFonts w:ascii="Times New Roman" w:hAnsi="Times New Roman" w:cs="Times New Roman"/>
          <w:sz w:val="28"/>
          <w:szCs w:val="28"/>
        </w:rPr>
        <w:t>для детей</w:t>
      </w:r>
      <w:r w:rsidR="00774DEB" w:rsidRPr="00774DEB">
        <w:rPr>
          <w:rFonts w:ascii="Times New Roman" w:hAnsi="Times New Roman" w:cs="Times New Roman"/>
          <w:sz w:val="28"/>
          <w:szCs w:val="28"/>
        </w:rPr>
        <w:t>.</w:t>
      </w:r>
      <w:r w:rsidR="00F56E6C">
        <w:rPr>
          <w:rFonts w:ascii="Times New Roman" w:hAnsi="Times New Roman" w:cs="Times New Roman"/>
          <w:sz w:val="28"/>
          <w:szCs w:val="28"/>
        </w:rPr>
        <w:t xml:space="preserve"> Библиотека была преобразована</w:t>
      </w:r>
      <w:r w:rsidR="00774DEB">
        <w:rPr>
          <w:rFonts w:ascii="Times New Roman" w:hAnsi="Times New Roman" w:cs="Times New Roman"/>
          <w:sz w:val="28"/>
          <w:szCs w:val="28"/>
        </w:rPr>
        <w:t xml:space="preserve"> в современное коммуникационное пространство – </w:t>
      </w:r>
      <w:proofErr w:type="spellStart"/>
      <w:r w:rsidR="00774DEB">
        <w:rPr>
          <w:rFonts w:ascii="Times New Roman" w:hAnsi="Times New Roman" w:cs="Times New Roman"/>
          <w:sz w:val="28"/>
          <w:szCs w:val="28"/>
        </w:rPr>
        <w:t>библиохаб</w:t>
      </w:r>
      <w:proofErr w:type="spellEnd"/>
      <w:r w:rsidR="00774DEB">
        <w:rPr>
          <w:rFonts w:ascii="Times New Roman" w:hAnsi="Times New Roman" w:cs="Times New Roman"/>
          <w:sz w:val="28"/>
          <w:szCs w:val="28"/>
        </w:rPr>
        <w:t>.</w:t>
      </w:r>
      <w:r w:rsidR="009F4C5B">
        <w:rPr>
          <w:rFonts w:ascii="Times New Roman" w:hAnsi="Times New Roman" w:cs="Times New Roman"/>
          <w:sz w:val="28"/>
          <w:szCs w:val="28"/>
        </w:rPr>
        <w:t xml:space="preserve"> </w:t>
      </w:r>
      <w:r w:rsidR="00D13DE5">
        <w:rPr>
          <w:rFonts w:ascii="Times New Roman" w:hAnsi="Times New Roman" w:cs="Times New Roman"/>
          <w:sz w:val="28"/>
          <w:szCs w:val="28"/>
        </w:rPr>
        <w:t xml:space="preserve">Особенностью новых помещений является их адаптация для людей с инвалидностью. </w:t>
      </w:r>
      <w:r w:rsidR="00774DEB">
        <w:rPr>
          <w:rFonts w:ascii="Times New Roman" w:hAnsi="Times New Roman" w:cs="Times New Roman"/>
          <w:sz w:val="28"/>
          <w:szCs w:val="28"/>
        </w:rPr>
        <w:t xml:space="preserve"> </w:t>
      </w:r>
      <w:r w:rsidR="00D13DE5">
        <w:rPr>
          <w:rFonts w:ascii="Times New Roman" w:hAnsi="Times New Roman" w:cs="Times New Roman"/>
          <w:sz w:val="28"/>
          <w:szCs w:val="28"/>
        </w:rPr>
        <w:t xml:space="preserve">В том же направлении начата работа в Публичной библиотеке им. Леси Украинки для взрослых г. Киева и Городской специализированной молодежной библиотеке «Молодая гвардия», в которой </w:t>
      </w:r>
      <w:proofErr w:type="gramStart"/>
      <w:r w:rsidR="00D13DE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D13DE5">
        <w:rPr>
          <w:rFonts w:ascii="Times New Roman" w:hAnsi="Times New Roman" w:cs="Times New Roman"/>
          <w:sz w:val="28"/>
          <w:szCs w:val="28"/>
        </w:rPr>
        <w:t xml:space="preserve"> 2018 г. сос</w:t>
      </w:r>
      <w:r w:rsidR="00F56E6C">
        <w:rPr>
          <w:rFonts w:ascii="Times New Roman" w:hAnsi="Times New Roman" w:cs="Times New Roman"/>
          <w:sz w:val="28"/>
          <w:szCs w:val="28"/>
        </w:rPr>
        <w:t xml:space="preserve">тоялась презентация </w:t>
      </w:r>
      <w:proofErr w:type="spellStart"/>
      <w:r w:rsidR="00F56E6C">
        <w:rPr>
          <w:rFonts w:ascii="Times New Roman" w:hAnsi="Times New Roman" w:cs="Times New Roman"/>
          <w:sz w:val="28"/>
          <w:szCs w:val="28"/>
        </w:rPr>
        <w:lastRenderedPageBreak/>
        <w:t>медиатеки</w:t>
      </w:r>
      <w:proofErr w:type="spellEnd"/>
      <w:r w:rsidR="00D13DE5">
        <w:rPr>
          <w:rFonts w:ascii="Times New Roman" w:hAnsi="Times New Roman" w:cs="Times New Roman"/>
          <w:sz w:val="28"/>
          <w:szCs w:val="28"/>
        </w:rPr>
        <w:t xml:space="preserve"> и нового проекта «Творческий инкубатор». </w:t>
      </w:r>
      <w:r w:rsidR="00D56E4D">
        <w:rPr>
          <w:rFonts w:ascii="Times New Roman" w:hAnsi="Times New Roman" w:cs="Times New Roman"/>
          <w:sz w:val="28"/>
          <w:szCs w:val="28"/>
        </w:rPr>
        <w:t xml:space="preserve">На базе юношеской библиотеки им. Е. </w:t>
      </w:r>
      <w:proofErr w:type="spellStart"/>
      <w:r w:rsidR="00D56E4D">
        <w:rPr>
          <w:rFonts w:ascii="Times New Roman" w:hAnsi="Times New Roman" w:cs="Times New Roman"/>
          <w:sz w:val="28"/>
          <w:szCs w:val="28"/>
        </w:rPr>
        <w:t>Кравченка</w:t>
      </w:r>
      <w:proofErr w:type="spellEnd"/>
      <w:r w:rsidR="00D56E4D">
        <w:rPr>
          <w:rFonts w:ascii="Times New Roman" w:hAnsi="Times New Roman" w:cs="Times New Roman"/>
          <w:sz w:val="28"/>
          <w:szCs w:val="28"/>
        </w:rPr>
        <w:t xml:space="preserve"> Днепровского района столицы реализован проект «</w:t>
      </w:r>
      <w:proofErr w:type="spellStart"/>
      <w:r w:rsidR="00D56E4D">
        <w:rPr>
          <w:rFonts w:ascii="Times New Roman" w:hAnsi="Times New Roman" w:cs="Times New Roman"/>
          <w:sz w:val="28"/>
          <w:szCs w:val="28"/>
        </w:rPr>
        <w:t>Оциум</w:t>
      </w:r>
      <w:proofErr w:type="spellEnd"/>
      <w:r w:rsidR="00D56E4D">
        <w:rPr>
          <w:rFonts w:ascii="Times New Roman" w:hAnsi="Times New Roman" w:cs="Times New Roman"/>
          <w:sz w:val="28"/>
          <w:szCs w:val="28"/>
        </w:rPr>
        <w:t xml:space="preserve">-библиотека. Сеть публичных пространств». В 2017 г. стартовал пилотный проект «Современное библиотечное пространство», целью которого является создание </w:t>
      </w:r>
      <w:proofErr w:type="spellStart"/>
      <w:r w:rsidR="00D56E4D">
        <w:rPr>
          <w:rFonts w:ascii="Times New Roman" w:hAnsi="Times New Roman" w:cs="Times New Roman"/>
          <w:sz w:val="28"/>
          <w:szCs w:val="28"/>
        </w:rPr>
        <w:t>библиохабов</w:t>
      </w:r>
      <w:proofErr w:type="spellEnd"/>
      <w:r w:rsidR="00D56E4D">
        <w:rPr>
          <w:rFonts w:ascii="Times New Roman" w:hAnsi="Times New Roman" w:cs="Times New Roman"/>
          <w:sz w:val="28"/>
          <w:szCs w:val="28"/>
        </w:rPr>
        <w:t xml:space="preserve"> на базе Центральной районной библиотеки им. П. Тычины Днепровского района, Центральной районной библиотеки «</w:t>
      </w:r>
      <w:proofErr w:type="spellStart"/>
      <w:r w:rsidR="00D56E4D">
        <w:rPr>
          <w:rFonts w:ascii="Times New Roman" w:hAnsi="Times New Roman" w:cs="Times New Roman"/>
          <w:sz w:val="28"/>
          <w:szCs w:val="28"/>
        </w:rPr>
        <w:t>Свичадо</w:t>
      </w:r>
      <w:proofErr w:type="spellEnd"/>
      <w:r w:rsidR="00D56E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56E4D">
        <w:rPr>
          <w:rFonts w:ascii="Times New Roman" w:hAnsi="Times New Roman" w:cs="Times New Roman"/>
          <w:sz w:val="28"/>
          <w:szCs w:val="28"/>
        </w:rPr>
        <w:t>Святошинского</w:t>
      </w:r>
      <w:proofErr w:type="spellEnd"/>
      <w:r w:rsidR="00D56E4D">
        <w:rPr>
          <w:rFonts w:ascii="Times New Roman" w:hAnsi="Times New Roman" w:cs="Times New Roman"/>
          <w:sz w:val="28"/>
          <w:szCs w:val="28"/>
        </w:rPr>
        <w:t xml:space="preserve"> района, библиотеки им. Н. Костомарова Шевченковского района, библиотеки им. Зои Космодемьянской для детей Дарницкого района, </w:t>
      </w:r>
      <w:r w:rsidR="00055E82">
        <w:rPr>
          <w:rFonts w:ascii="Times New Roman" w:hAnsi="Times New Roman" w:cs="Times New Roman"/>
          <w:sz w:val="28"/>
          <w:szCs w:val="28"/>
        </w:rPr>
        <w:t xml:space="preserve">библиотеки №115 для детей </w:t>
      </w:r>
      <w:proofErr w:type="spellStart"/>
      <w:r w:rsidR="00055E82">
        <w:rPr>
          <w:rFonts w:ascii="Times New Roman" w:hAnsi="Times New Roman" w:cs="Times New Roman"/>
          <w:sz w:val="28"/>
          <w:szCs w:val="28"/>
        </w:rPr>
        <w:t>Деснянского</w:t>
      </w:r>
      <w:proofErr w:type="spellEnd"/>
      <w:r w:rsidR="00055E82">
        <w:rPr>
          <w:rFonts w:ascii="Times New Roman" w:hAnsi="Times New Roman" w:cs="Times New Roman"/>
          <w:sz w:val="28"/>
          <w:szCs w:val="28"/>
        </w:rPr>
        <w:t xml:space="preserve"> района. Предусмотрено создание до 2021 г. в каждом районе столицы современных библиотечных пространств.</w:t>
      </w:r>
      <w:r w:rsidR="0044739E">
        <w:rPr>
          <w:rFonts w:ascii="Times New Roman" w:hAnsi="Times New Roman" w:cs="Times New Roman"/>
          <w:sz w:val="28"/>
          <w:szCs w:val="28"/>
        </w:rPr>
        <w:t xml:space="preserve"> На с</w:t>
      </w:r>
      <w:r w:rsidR="00055E82">
        <w:rPr>
          <w:rFonts w:ascii="Times New Roman" w:hAnsi="Times New Roman" w:cs="Times New Roman"/>
          <w:sz w:val="28"/>
          <w:szCs w:val="28"/>
        </w:rPr>
        <w:t xml:space="preserve">егодня 132 публичные библиотеки </w:t>
      </w:r>
      <w:r w:rsidR="00055E82" w:rsidRPr="00055E82">
        <w:rPr>
          <w:rFonts w:ascii="Times New Roman" w:hAnsi="Times New Roman" w:cs="Times New Roman"/>
          <w:sz w:val="28"/>
          <w:szCs w:val="28"/>
        </w:rPr>
        <w:t>г. Киева</w:t>
      </w:r>
      <w:r w:rsidR="00055E82">
        <w:rPr>
          <w:rFonts w:ascii="Times New Roman" w:hAnsi="Times New Roman" w:cs="Times New Roman"/>
          <w:sz w:val="28"/>
          <w:szCs w:val="28"/>
        </w:rPr>
        <w:t xml:space="preserve"> подключены к проводному Интернету, 112 библиотек имеют зону </w:t>
      </w:r>
      <w:r w:rsidR="004D32E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4D32EE" w:rsidRPr="004D32EE">
        <w:rPr>
          <w:rFonts w:ascii="Times New Roman" w:hAnsi="Times New Roman" w:cs="Times New Roman"/>
          <w:sz w:val="28"/>
          <w:szCs w:val="28"/>
        </w:rPr>
        <w:t>-</w:t>
      </w:r>
      <w:r w:rsidR="004D32E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D3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2EE" w:rsidRDefault="00D24DA3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D32EE">
        <w:rPr>
          <w:rFonts w:ascii="Times New Roman" w:hAnsi="Times New Roman" w:cs="Times New Roman"/>
          <w:sz w:val="28"/>
          <w:szCs w:val="28"/>
        </w:rPr>
        <w:t xml:space="preserve">елью Комплексной программы является преобразование музеев и библиотек в открытые многоцелевые центры культуры, науки, образования и воспитания личности в соответствии с мировыми тенденциями развития музейного и библиотечного дела. </w:t>
      </w:r>
    </w:p>
    <w:p w:rsidR="004D32EE" w:rsidRDefault="00E875AD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</w:t>
      </w:r>
      <w:r w:rsidR="00762B3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64C3">
        <w:rPr>
          <w:rFonts w:ascii="Times New Roman" w:hAnsi="Times New Roman" w:cs="Times New Roman"/>
          <w:sz w:val="28"/>
          <w:szCs w:val="28"/>
        </w:rPr>
        <w:t xml:space="preserve"> развития музейного </w:t>
      </w:r>
      <w:r w:rsidR="00762B31">
        <w:rPr>
          <w:rFonts w:ascii="Times New Roman" w:hAnsi="Times New Roman" w:cs="Times New Roman"/>
          <w:sz w:val="28"/>
          <w:szCs w:val="28"/>
        </w:rPr>
        <w:t>и библиотечного дела</w:t>
      </w:r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762B31"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="0044739E">
        <w:rPr>
          <w:rFonts w:ascii="Times New Roman" w:hAnsi="Times New Roman" w:cs="Times New Roman"/>
          <w:sz w:val="28"/>
          <w:szCs w:val="28"/>
        </w:rPr>
        <w:t xml:space="preserve">преобразование музеев </w:t>
      </w:r>
      <w:proofErr w:type="gramStart"/>
      <w:r w:rsidR="004473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4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многофункциональные учреждения социальной информации; совершенствование музейного маркетинга и пиара; улучшение материально-технической базы музеев и библиотек, внедрение современных информационных технологий; развитие чтения через систему социального партнерства; дальнейшая автоматизация библиотечных процессов; развитие новых функций библиотек; приспособление инфраструктуры библиотек для людей с особыми потребностями.</w:t>
      </w:r>
    </w:p>
    <w:p w:rsidR="0044739E" w:rsidRDefault="0044739E" w:rsidP="00F27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задач планируется путем проведения ряда мероприятий, среди которых следующие: преобразование публичных библиотек в современные библиотечные пространства; реализация проекта «На пути к отсутствию барьеров» для людей с нарушениями зрения, который, в частности, предусматривает формирование фонда изданий, напечатанных рельефно-то</w:t>
      </w:r>
      <w:r w:rsidR="007D389F">
        <w:rPr>
          <w:rFonts w:ascii="Times New Roman" w:hAnsi="Times New Roman" w:cs="Times New Roman"/>
          <w:sz w:val="28"/>
          <w:szCs w:val="28"/>
        </w:rPr>
        <w:t>чечным шрифтом либо озвученных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специальном цифровом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формате; </w:t>
      </w:r>
      <w:proofErr w:type="gramStart"/>
      <w:r w:rsidR="00B54D64">
        <w:rPr>
          <w:rFonts w:ascii="Times New Roman" w:hAnsi="Times New Roman" w:cs="Times New Roman"/>
          <w:sz w:val="28"/>
          <w:szCs w:val="28"/>
        </w:rPr>
        <w:t xml:space="preserve">организация конференций, выставок разного уровня с целью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промоции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Киевом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ЮНЕСКО «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Всемирная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столица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книги – 2022»;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обеспечение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доступности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образовательным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информационным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ресурсам,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предоставление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литературным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произведениям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украинских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зарубежных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авторов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интегрированной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информационно-библиотечной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внедрения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единой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библиотек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автоматизированной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библиотечной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создания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корпоративних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B54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4D64">
        <w:rPr>
          <w:rFonts w:ascii="Times New Roman" w:hAnsi="Times New Roman" w:cs="Times New Roman"/>
          <w:sz w:val="28"/>
          <w:szCs w:val="28"/>
          <w:lang w:val="uk-UA"/>
        </w:rPr>
        <w:t>продуктов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преобразование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музейних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учреждений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открытые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универсальные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пространства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объединяющие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прошлое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E4C19">
        <w:rPr>
          <w:rFonts w:ascii="Times New Roman" w:hAnsi="Times New Roman" w:cs="Times New Roman"/>
          <w:sz w:val="28"/>
          <w:szCs w:val="28"/>
          <w:lang w:val="uk-UA"/>
        </w:rPr>
        <w:t>будущее</w:t>
      </w:r>
      <w:proofErr w:type="spellEnd"/>
      <w:r w:rsidR="005E4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2B0">
        <w:rPr>
          <w:rFonts w:ascii="Times New Roman" w:hAnsi="Times New Roman" w:cs="Times New Roman"/>
          <w:sz w:val="28"/>
          <w:szCs w:val="28"/>
          <w:lang w:val="uk-UA"/>
        </w:rPr>
        <w:t>Поседний</w:t>
      </w:r>
      <w:proofErr w:type="spellEnd"/>
      <w:r w:rsidR="002B22B0">
        <w:rPr>
          <w:rFonts w:ascii="Times New Roman" w:hAnsi="Times New Roman" w:cs="Times New Roman"/>
          <w:sz w:val="28"/>
          <w:szCs w:val="28"/>
          <w:lang w:val="uk-UA"/>
        </w:rPr>
        <w:t xml:space="preserve"> пункт </w:t>
      </w:r>
      <w:proofErr w:type="spellStart"/>
      <w:r w:rsidR="002B22B0">
        <w:rPr>
          <w:rFonts w:ascii="Times New Roman" w:hAnsi="Times New Roman" w:cs="Times New Roman"/>
          <w:sz w:val="28"/>
          <w:szCs w:val="28"/>
          <w:lang w:val="uk-UA"/>
        </w:rPr>
        <w:t>предусматривает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проведение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ремонтно-реставрационных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работ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экпозиций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Музее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выдающихся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деятелей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Центре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Шоколадный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05B36" w:rsidRPr="00805B36">
        <w:rPr>
          <w:rFonts w:ascii="Times New Roman" w:hAnsi="Times New Roman" w:cs="Times New Roman"/>
          <w:sz w:val="28"/>
          <w:szCs w:val="28"/>
        </w:rPr>
        <w:t>–</w:t>
      </w:r>
      <w:r w:rsidR="00805B36">
        <w:rPr>
          <w:rFonts w:ascii="Times New Roman" w:hAnsi="Times New Roman" w:cs="Times New Roman"/>
          <w:sz w:val="28"/>
          <w:szCs w:val="28"/>
        </w:rPr>
        <w:t xml:space="preserve"> филиале Национального музея </w:t>
      </w:r>
      <w:r w:rsidR="00805B3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Киевская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картинная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галерея»,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завершение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скульптуры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и декоративно-прикладного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и тому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подобное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); 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планируется</w:t>
      </w:r>
      <w:proofErr w:type="spellEnd"/>
      <w:r w:rsidR="0080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36">
        <w:rPr>
          <w:rFonts w:ascii="Times New Roman" w:hAnsi="Times New Roman" w:cs="Times New Roman"/>
          <w:sz w:val="28"/>
          <w:szCs w:val="28"/>
          <w:lang w:val="uk-UA"/>
        </w:rPr>
        <w:t>реализаци</w:t>
      </w:r>
      <w:r w:rsidR="00BB7EE7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BB7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EE7"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="00BB7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EE7">
        <w:rPr>
          <w:rFonts w:ascii="Times New Roman" w:hAnsi="Times New Roman" w:cs="Times New Roman"/>
          <w:sz w:val="28"/>
          <w:szCs w:val="28"/>
          <w:lang w:val="uk-UA"/>
        </w:rPr>
        <w:t>проектов</w:t>
      </w:r>
      <w:proofErr w:type="spellEnd"/>
      <w:r w:rsidR="00BB7EE7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BB7EE7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BB7EE7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BB7EE7">
        <w:rPr>
          <w:rFonts w:ascii="Times New Roman" w:hAnsi="Times New Roman" w:cs="Times New Roman"/>
          <w:sz w:val="28"/>
          <w:szCs w:val="28"/>
        </w:rPr>
        <w:t xml:space="preserve"> декоративное искусство. Традиции. </w:t>
      </w:r>
      <w:proofErr w:type="gramStart"/>
      <w:r w:rsidR="00BB7EE7">
        <w:rPr>
          <w:rFonts w:ascii="Times New Roman" w:hAnsi="Times New Roman" w:cs="Times New Roman"/>
          <w:sz w:val="28"/>
          <w:szCs w:val="28"/>
        </w:rPr>
        <w:t xml:space="preserve">Новации», «Зооморфная пластика в современной керамике» (Национальный музей украинского декоративного искусства), «Всей семьей в музей» (Музей истории города Киева), «Детский музей Ханенко», «Урок в музее» (Национальный музей искусств им. Богдана и Варвары Ханенко); постепенное внедрение в деятельность музеев интерактивных технологий, открывающим возможности создания креативных </w:t>
      </w:r>
      <w:proofErr w:type="spellStart"/>
      <w:r w:rsidR="00BB7EE7">
        <w:rPr>
          <w:rFonts w:ascii="Times New Roman" w:hAnsi="Times New Roman" w:cs="Times New Roman"/>
          <w:sz w:val="28"/>
          <w:szCs w:val="28"/>
        </w:rPr>
        <w:t>видеошоу</w:t>
      </w:r>
      <w:proofErr w:type="spellEnd"/>
      <w:r w:rsidR="00BB7EE7">
        <w:rPr>
          <w:rFonts w:ascii="Times New Roman" w:hAnsi="Times New Roman" w:cs="Times New Roman"/>
          <w:sz w:val="28"/>
          <w:szCs w:val="28"/>
        </w:rPr>
        <w:t>, панорамных проекций, виртуальных реальностей, использования 3</w:t>
      </w:r>
      <w:r w:rsidR="00BB7EE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7EE7" w:rsidRPr="00BB7EE7">
        <w:rPr>
          <w:rFonts w:ascii="Times New Roman" w:hAnsi="Times New Roman" w:cs="Times New Roman"/>
          <w:sz w:val="28"/>
          <w:szCs w:val="28"/>
        </w:rPr>
        <w:t xml:space="preserve"> </w:t>
      </w:r>
      <w:r w:rsidR="00BB7EE7">
        <w:rPr>
          <w:rFonts w:ascii="Times New Roman" w:hAnsi="Times New Roman" w:cs="Times New Roman"/>
          <w:sz w:val="28"/>
          <w:szCs w:val="28"/>
        </w:rPr>
        <w:t>технологий.</w:t>
      </w:r>
      <w:proofErr w:type="gramEnd"/>
      <w:r w:rsidR="00BB7EE7">
        <w:rPr>
          <w:rFonts w:ascii="Times New Roman" w:hAnsi="Times New Roman" w:cs="Times New Roman"/>
          <w:sz w:val="28"/>
          <w:szCs w:val="28"/>
        </w:rPr>
        <w:t xml:space="preserve"> Свое продолжение получит международное культурное сотрудничество музеев Киева</w:t>
      </w:r>
      <w:proofErr w:type="gramStart"/>
      <w:r w:rsidR="00F56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EE7">
        <w:rPr>
          <w:rFonts w:ascii="Times New Roman" w:hAnsi="Times New Roman" w:cs="Times New Roman"/>
          <w:sz w:val="28"/>
          <w:szCs w:val="28"/>
        </w:rPr>
        <w:t xml:space="preserve"> </w:t>
      </w:r>
      <w:r w:rsidR="00E30682">
        <w:rPr>
          <w:rFonts w:ascii="Times New Roman" w:hAnsi="Times New Roman" w:cs="Times New Roman"/>
          <w:sz w:val="28"/>
          <w:szCs w:val="28"/>
        </w:rPr>
        <w:t xml:space="preserve">Например, планируется реализация таких выставочных проектов, как </w:t>
      </w:r>
      <w:r w:rsidR="003E479B">
        <w:rPr>
          <w:rFonts w:ascii="Times New Roman" w:hAnsi="Times New Roman" w:cs="Times New Roman"/>
          <w:sz w:val="28"/>
          <w:szCs w:val="28"/>
        </w:rPr>
        <w:t xml:space="preserve"> «Сакральное искусство порубежных территорий Украины-Польши (Музей книги и книгопечатания Украины – музей Польши); выставка живописи из коллекции Национального музея «Киевская картинная галерея» в музеях Китая</w:t>
      </w:r>
      <w:r w:rsidR="0033318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33184">
        <w:rPr>
          <w:rFonts w:ascii="Times New Roman" w:hAnsi="Times New Roman" w:cs="Times New Roman"/>
          <w:sz w:val="28"/>
          <w:szCs w:val="28"/>
        </w:rPr>
        <w:t xml:space="preserve">«Полифония» </w:t>
      </w:r>
      <w:r w:rsidR="00333184" w:rsidRPr="00333184">
        <w:rPr>
          <w:rFonts w:ascii="Times New Roman" w:hAnsi="Times New Roman" w:cs="Times New Roman"/>
          <w:sz w:val="28"/>
          <w:szCs w:val="28"/>
        </w:rPr>
        <w:t>–</w:t>
      </w:r>
      <w:r w:rsidR="00333184">
        <w:rPr>
          <w:rFonts w:ascii="Times New Roman" w:hAnsi="Times New Roman" w:cs="Times New Roman"/>
          <w:sz w:val="28"/>
          <w:szCs w:val="28"/>
        </w:rPr>
        <w:t xml:space="preserve"> проект международного сотрудничества Украины, Венгрии и Франции при поддержке программы ЕС </w:t>
      </w:r>
      <w:r w:rsidR="00333184">
        <w:rPr>
          <w:rFonts w:ascii="Times New Roman" w:hAnsi="Times New Roman" w:cs="Times New Roman"/>
          <w:sz w:val="28"/>
          <w:szCs w:val="28"/>
        </w:rPr>
        <w:lastRenderedPageBreak/>
        <w:t xml:space="preserve">«Креативная Европа», </w:t>
      </w:r>
      <w:proofErr w:type="spellStart"/>
      <w:r w:rsidR="00333184">
        <w:rPr>
          <w:rFonts w:ascii="Times New Roman" w:hAnsi="Times New Roman" w:cs="Times New Roman"/>
          <w:sz w:val="28"/>
          <w:szCs w:val="28"/>
        </w:rPr>
        <w:t>Ягеллонский</w:t>
      </w:r>
      <w:proofErr w:type="spellEnd"/>
      <w:r w:rsidR="00333184">
        <w:rPr>
          <w:rFonts w:ascii="Times New Roman" w:hAnsi="Times New Roman" w:cs="Times New Roman"/>
          <w:sz w:val="28"/>
          <w:szCs w:val="28"/>
        </w:rPr>
        <w:t xml:space="preserve"> ярмарок традиционного искусства (г. Люблин, Польша), Международный фестиваль культуры и искусства в г. </w:t>
      </w:r>
      <w:proofErr w:type="spellStart"/>
      <w:r w:rsidR="00333184">
        <w:rPr>
          <w:rFonts w:ascii="Times New Roman" w:hAnsi="Times New Roman" w:cs="Times New Roman"/>
          <w:sz w:val="28"/>
          <w:szCs w:val="28"/>
        </w:rPr>
        <w:t>Бююкчекмедже</w:t>
      </w:r>
      <w:proofErr w:type="spellEnd"/>
      <w:r w:rsidR="00333184">
        <w:rPr>
          <w:rFonts w:ascii="Times New Roman" w:hAnsi="Times New Roman" w:cs="Times New Roman"/>
          <w:sz w:val="28"/>
          <w:szCs w:val="28"/>
        </w:rPr>
        <w:t xml:space="preserve"> и г. Шиле (Турция)</w:t>
      </w:r>
      <w:r w:rsidR="00BB7EE7" w:rsidRPr="00BB7EE7">
        <w:rPr>
          <w:rFonts w:ascii="Times New Roman" w:hAnsi="Times New Roman" w:cs="Times New Roman"/>
          <w:sz w:val="28"/>
          <w:szCs w:val="28"/>
        </w:rPr>
        <w:t xml:space="preserve"> </w:t>
      </w:r>
      <w:r w:rsidR="00333184">
        <w:rPr>
          <w:rFonts w:ascii="Times New Roman" w:hAnsi="Times New Roman" w:cs="Times New Roman"/>
          <w:sz w:val="28"/>
          <w:szCs w:val="28"/>
        </w:rPr>
        <w:t>(Национальный центр народной культуры «Музей Ивана Гончара».</w:t>
      </w:r>
      <w:proofErr w:type="gramEnd"/>
    </w:p>
    <w:p w:rsidR="001C055A" w:rsidRPr="001C055A" w:rsidRDefault="001B049E" w:rsidP="001C0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программы позволит достичь главного – привлечь посетителей </w:t>
      </w:r>
      <w:r w:rsidR="002D65B8">
        <w:rPr>
          <w:rFonts w:ascii="Times New Roman" w:hAnsi="Times New Roman" w:cs="Times New Roman"/>
          <w:sz w:val="28"/>
          <w:szCs w:val="28"/>
        </w:rPr>
        <w:t>в технически и технологически обновленные музейные и библиотечные учреждения, создать современное информационно-коммуникационн</w:t>
      </w:r>
      <w:r w:rsidR="006B489F">
        <w:rPr>
          <w:rFonts w:ascii="Times New Roman" w:hAnsi="Times New Roman" w:cs="Times New Roman"/>
          <w:sz w:val="28"/>
          <w:szCs w:val="28"/>
        </w:rPr>
        <w:t>ое пространство</w:t>
      </w:r>
      <w:r w:rsidR="001C055A">
        <w:rPr>
          <w:rFonts w:ascii="Times New Roman" w:hAnsi="Times New Roman" w:cs="Times New Roman"/>
          <w:sz w:val="28"/>
          <w:szCs w:val="28"/>
        </w:rPr>
        <w:t xml:space="preserve">, улучшить качество жизни, способствовать </w:t>
      </w:r>
      <w:r w:rsidR="001C055A" w:rsidRPr="001C055A">
        <w:rPr>
          <w:rFonts w:ascii="Times New Roman" w:hAnsi="Times New Roman" w:cs="Times New Roman"/>
          <w:sz w:val="28"/>
          <w:szCs w:val="28"/>
        </w:rPr>
        <w:t xml:space="preserve">гармонизации межнациональных, межконфессиональных отношений, духовному развитию общества. </w:t>
      </w:r>
    </w:p>
    <w:p w:rsidR="00B54CD8" w:rsidRDefault="006B489F" w:rsidP="00B54CD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Список </w:t>
      </w:r>
      <w:proofErr w:type="spellStart"/>
      <w:r w:rsid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использованных</w:t>
      </w:r>
      <w:proofErr w:type="spellEnd"/>
      <w:r w:rsid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источников</w:t>
      </w:r>
      <w:proofErr w:type="spellEnd"/>
    </w:p>
    <w:p w:rsidR="00B54CD8" w:rsidRPr="00B54CD8" w:rsidRDefault="00B54CD8" w:rsidP="00B54CD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сталого розвитку «Україна–2020»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[Електронний ресурс]: Указ Президента України від 12.01.2015 р. №5/2015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Офіційний </w:t>
      </w:r>
      <w:proofErr w:type="spellStart"/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веб-портал</w:t>
      </w:r>
      <w:proofErr w:type="spellEnd"/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ВРУ. 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URL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Pr="00B54CD8">
        <w:t xml:space="preserve"> </w:t>
      </w:r>
      <w:hyperlink r:id="rId6" w:history="1">
        <w:r w:rsidRPr="00B54CD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https://zakon.rada.gov.ua/laws/show/5/2015</w:t>
        </w:r>
      </w:hyperlink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(дата звернення: 16.04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.2019).</w:t>
      </w:r>
    </w:p>
    <w:p w:rsidR="001B049E" w:rsidRPr="00124479" w:rsidRDefault="00B54CD8" w:rsidP="004447B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Стратегія 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розвитку бібліотечної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справи на період до 2025 року «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Якісні зміни бібліотек для забезп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ечення сталого розвитку України»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[Електронний ресурс]: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54CD8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озпорядженням Кабінету Міністрів України від 23.032016 р. № 219-р / 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Офіційний </w:t>
      </w:r>
      <w:proofErr w:type="spellStart"/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веб-портал</w:t>
      </w:r>
      <w:proofErr w:type="spellEnd"/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ВРУ. 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Pr="00B54CD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7" w:history="1"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https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zakon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rada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gov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ua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laws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show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/219-2016-%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D</w:t>
        </w:r>
        <w:r w:rsidRPr="00B54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1%80</w:t>
        </w:r>
      </w:hyperlink>
      <w:r w:rsidRPr="00B54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D8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B54CD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54CD8">
        <w:rPr>
          <w:rFonts w:ascii="Times New Roman" w:hAnsi="Times New Roman" w:cs="Times New Roman"/>
          <w:sz w:val="28"/>
          <w:szCs w:val="28"/>
        </w:rPr>
        <w:t>: 16.04.2019).</w:t>
      </w:r>
    </w:p>
    <w:p w:rsidR="004447B2" w:rsidRPr="004447B2" w:rsidRDefault="004447B2" w:rsidP="004447B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музеї та музейну справу [Електронний ресурс]: Закон України від 29.06.1995 р. №250/95-ВР / Офіційний </w:t>
      </w:r>
      <w:proofErr w:type="spellStart"/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веб-портал</w:t>
      </w:r>
      <w:proofErr w:type="spellEnd"/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ВРУ. </w:t>
      </w:r>
      <w:r w:rsidRPr="004447B2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hyperlink r:id="rId8" w:history="1">
        <w:r w:rsidRPr="004447B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https://zakon.rada.gov.ua/laws/show/249/95-%D0%B2%D1%80/sp:max100</w:t>
        </w:r>
      </w:hyperlink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(дата звернення: 16.04.2019).</w:t>
      </w:r>
    </w:p>
    <w:p w:rsidR="004447B2" w:rsidRPr="004447B2" w:rsidRDefault="004447B2" w:rsidP="004447B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Комплексна міська цільова програма «Столична культура: 2019–2021 роки» [Електронний ресурс].</w:t>
      </w:r>
      <w:r w:rsidRPr="004447B2">
        <w:t xml:space="preserve"> </w:t>
      </w:r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URL:    </w:t>
      </w:r>
      <w:hyperlink r:id="rId9" w:history="1">
        <w:r w:rsidRPr="004447B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https://kmr.gov.ua/sites/default/files/no_11_pr_4045.pdf</w:t>
        </w:r>
      </w:hyperlink>
      <w:r w:rsidRPr="004447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(дата звернення: 16.04.2019).</w:t>
      </w:r>
    </w:p>
    <w:p w:rsidR="004447B2" w:rsidRPr="004447B2" w:rsidRDefault="004447B2" w:rsidP="004447B2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5024F" w:rsidRDefault="0005024F" w:rsidP="0005024F">
      <w:pPr>
        <w:pStyle w:val="a3"/>
        <w:spacing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lastRenderedPageBreak/>
        <w:t xml:space="preserve">Халецкая Леся Филипповна, кандидат исторических наук, доцент кафедры истории и документоведения факультета лингвистики и социальных коммуникаций Национального авиационного университета (Украина, Киев). </w:t>
      </w:r>
    </w:p>
    <w:p w:rsidR="0005024F" w:rsidRPr="0005024F" w:rsidRDefault="0005024F" w:rsidP="0005024F">
      <w:pPr>
        <w:pStyle w:val="a3"/>
        <w:spacing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Почтовый адрес: 03065 Киев б. В. Гавела, 49 кв.2</w:t>
      </w:r>
    </w:p>
    <w:p w:rsidR="0005024F" w:rsidRPr="00F56E6C" w:rsidRDefault="0005024F" w:rsidP="0005024F">
      <w:pPr>
        <w:pStyle w:val="a3"/>
        <w:spacing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Тел. +380 67 440 77 15 </w:t>
      </w:r>
    </w:p>
    <w:p w:rsidR="0005024F" w:rsidRDefault="0005024F" w:rsidP="0005024F">
      <w:pPr>
        <w:pStyle w:val="a3"/>
        <w:spacing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дре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05024F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hyperlink r:id="rId10" w:history="1">
        <w:r w:rsidRPr="0021320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lecenka</w:t>
        </w:r>
        <w:r w:rsidRPr="0005024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21320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ukr</w:t>
        </w:r>
        <w:r w:rsidRPr="0005024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213209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net</w:t>
        </w:r>
      </w:hyperlink>
    </w:p>
    <w:p w:rsidR="0005024F" w:rsidRPr="0005024F" w:rsidRDefault="0005024F" w:rsidP="0005024F">
      <w:pPr>
        <w:pStyle w:val="a3"/>
        <w:spacing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Форма участия: заочная.</w:t>
      </w:r>
    </w:p>
    <w:p w:rsidR="0005024F" w:rsidRPr="0005024F" w:rsidRDefault="0005024F" w:rsidP="0005024F">
      <w:pPr>
        <w:pStyle w:val="a3"/>
        <w:spacing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4479" w:rsidRPr="0005024F" w:rsidRDefault="00124479" w:rsidP="004447B2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4CD8" w:rsidRPr="00B54CD8" w:rsidRDefault="00B54CD8" w:rsidP="004447B2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107" w:rsidRPr="004447B2" w:rsidRDefault="00E83107" w:rsidP="00444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094" w:rsidRPr="004447B2" w:rsidRDefault="00931094" w:rsidP="004447B2">
      <w:pPr>
        <w:spacing w:after="0" w:line="360" w:lineRule="auto"/>
        <w:jc w:val="both"/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p w:rsidR="00DF314F" w:rsidRPr="004447B2" w:rsidRDefault="00DF314F" w:rsidP="00DF314F">
      <w:pPr>
        <w:rPr>
          <w:lang w:val="uk-UA"/>
        </w:rPr>
      </w:pPr>
    </w:p>
    <w:sectPr w:rsidR="00DF314F" w:rsidRPr="004447B2" w:rsidSect="00DF314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E3E"/>
    <w:multiLevelType w:val="hybridMultilevel"/>
    <w:tmpl w:val="FDCAE4BC"/>
    <w:lvl w:ilvl="0" w:tplc="2208C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75358"/>
    <w:multiLevelType w:val="hybridMultilevel"/>
    <w:tmpl w:val="490C9E0A"/>
    <w:lvl w:ilvl="0" w:tplc="BD669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4F"/>
    <w:rsid w:val="0005024F"/>
    <w:rsid w:val="00055E82"/>
    <w:rsid w:val="00124479"/>
    <w:rsid w:val="001779DF"/>
    <w:rsid w:val="001B049E"/>
    <w:rsid w:val="001C055A"/>
    <w:rsid w:val="001C4C89"/>
    <w:rsid w:val="001D75D3"/>
    <w:rsid w:val="002345DB"/>
    <w:rsid w:val="00234A75"/>
    <w:rsid w:val="002A3DC1"/>
    <w:rsid w:val="002A5F10"/>
    <w:rsid w:val="002B22B0"/>
    <w:rsid w:val="002D65B8"/>
    <w:rsid w:val="00333184"/>
    <w:rsid w:val="00340E39"/>
    <w:rsid w:val="00366BD8"/>
    <w:rsid w:val="003B7FBB"/>
    <w:rsid w:val="003C455F"/>
    <w:rsid w:val="003D76AF"/>
    <w:rsid w:val="003D7720"/>
    <w:rsid w:val="003E0A9C"/>
    <w:rsid w:val="003E479B"/>
    <w:rsid w:val="003E5551"/>
    <w:rsid w:val="004447B2"/>
    <w:rsid w:val="0044739E"/>
    <w:rsid w:val="004D32EE"/>
    <w:rsid w:val="005114A6"/>
    <w:rsid w:val="00534184"/>
    <w:rsid w:val="005B1894"/>
    <w:rsid w:val="005E4C19"/>
    <w:rsid w:val="006B489F"/>
    <w:rsid w:val="007230B2"/>
    <w:rsid w:val="00762B31"/>
    <w:rsid w:val="00774DEB"/>
    <w:rsid w:val="007C0345"/>
    <w:rsid w:val="007D389F"/>
    <w:rsid w:val="00805B36"/>
    <w:rsid w:val="0081130F"/>
    <w:rsid w:val="00842E4F"/>
    <w:rsid w:val="008775CF"/>
    <w:rsid w:val="008964C3"/>
    <w:rsid w:val="00897511"/>
    <w:rsid w:val="00931094"/>
    <w:rsid w:val="00931A86"/>
    <w:rsid w:val="009506EC"/>
    <w:rsid w:val="00971D1C"/>
    <w:rsid w:val="00977369"/>
    <w:rsid w:val="009F4C5B"/>
    <w:rsid w:val="00A45D8F"/>
    <w:rsid w:val="00B06FD0"/>
    <w:rsid w:val="00B54CD8"/>
    <w:rsid w:val="00B54D64"/>
    <w:rsid w:val="00BB7EE7"/>
    <w:rsid w:val="00BE00E5"/>
    <w:rsid w:val="00C676DB"/>
    <w:rsid w:val="00D13DE5"/>
    <w:rsid w:val="00D24DA3"/>
    <w:rsid w:val="00D56E19"/>
    <w:rsid w:val="00D56E4D"/>
    <w:rsid w:val="00D8154F"/>
    <w:rsid w:val="00DF314F"/>
    <w:rsid w:val="00E1598E"/>
    <w:rsid w:val="00E30682"/>
    <w:rsid w:val="00E62028"/>
    <w:rsid w:val="00E73B75"/>
    <w:rsid w:val="00E83107"/>
    <w:rsid w:val="00E875AD"/>
    <w:rsid w:val="00E95761"/>
    <w:rsid w:val="00F10569"/>
    <w:rsid w:val="00F27ED7"/>
    <w:rsid w:val="00F56E6C"/>
    <w:rsid w:val="00F638AF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/95-%D0%B2%D1%80/sp:max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9-2016-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/20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cenk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sites/default/files/no_11_pr_40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User 34</cp:lastModifiedBy>
  <cp:revision>51</cp:revision>
  <dcterms:created xsi:type="dcterms:W3CDTF">2019-04-16T07:11:00Z</dcterms:created>
  <dcterms:modified xsi:type="dcterms:W3CDTF">2019-04-19T09:38:00Z</dcterms:modified>
</cp:coreProperties>
</file>