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19" w:rsidRPr="00B71BAF" w:rsidRDefault="0080407D" w:rsidP="00354C71">
      <w:pPr>
        <w:spacing w:line="360" w:lineRule="auto"/>
        <w:jc w:val="both"/>
        <w:rPr>
          <w:rFonts w:ascii="Times New Roman" w:hAnsi="Times New Roman" w:cs="Times New Roman"/>
          <w:sz w:val="28"/>
          <w:szCs w:val="28"/>
        </w:rPr>
      </w:pPr>
      <w:bookmarkStart w:id="0" w:name="_GoBack"/>
      <w:bookmarkEnd w:id="0"/>
      <w:r w:rsidRPr="00115C82">
        <w:rPr>
          <w:rFonts w:ascii="Times New Roman" w:hAnsi="Times New Roman" w:cs="Times New Roman"/>
          <w:sz w:val="28"/>
          <w:szCs w:val="28"/>
        </w:rPr>
        <w:t xml:space="preserve">УДК </w:t>
      </w:r>
      <w:r w:rsidR="001620A7" w:rsidRPr="00115C82">
        <w:rPr>
          <w:rFonts w:ascii="Times New Roman" w:hAnsi="Times New Roman" w:cs="Times New Roman"/>
          <w:sz w:val="28"/>
          <w:szCs w:val="28"/>
        </w:rPr>
        <w:t xml:space="preserve"> </w:t>
      </w:r>
      <w:r w:rsidR="00457FC5" w:rsidRPr="00115C82">
        <w:rPr>
          <w:rFonts w:ascii="Times New Roman" w:hAnsi="Times New Roman" w:cs="Times New Roman"/>
          <w:sz w:val="28"/>
          <w:szCs w:val="28"/>
        </w:rPr>
        <w:t>336.582.1(045)</w:t>
      </w:r>
      <w:r w:rsidR="001620A7" w:rsidRPr="00115C82">
        <w:rPr>
          <w:rFonts w:ascii="Times New Roman" w:hAnsi="Times New Roman" w:cs="Times New Roman"/>
          <w:sz w:val="28"/>
          <w:szCs w:val="28"/>
        </w:rPr>
        <w:t xml:space="preserve">            </w:t>
      </w:r>
    </w:p>
    <w:p w:rsidR="0053336F" w:rsidRDefault="00FB7419" w:rsidP="00FB7419">
      <w:pPr>
        <w:spacing w:line="360" w:lineRule="auto"/>
        <w:jc w:val="center"/>
        <w:rPr>
          <w:rFonts w:ascii="Times New Roman" w:hAnsi="Times New Roman" w:cs="Times New Roman"/>
          <w:b/>
          <w:sz w:val="28"/>
          <w:szCs w:val="28"/>
        </w:rPr>
      </w:pPr>
      <w:r w:rsidRPr="00115C82">
        <w:rPr>
          <w:rFonts w:ascii="Times New Roman" w:hAnsi="Times New Roman" w:cs="Times New Roman"/>
          <w:b/>
          <w:sz w:val="28"/>
          <w:szCs w:val="28"/>
        </w:rPr>
        <w:t xml:space="preserve">ШЛЯХИ ПОГАШЕННЯ ЗОВНІШНЬОЇ ЗАБОРГОВАННОСТІ </w:t>
      </w:r>
    </w:p>
    <w:p w:rsidR="00FB7419" w:rsidRPr="00115C82" w:rsidRDefault="00FB7419" w:rsidP="00FB7419">
      <w:pPr>
        <w:spacing w:line="360" w:lineRule="auto"/>
        <w:jc w:val="center"/>
        <w:rPr>
          <w:rFonts w:ascii="Times New Roman" w:hAnsi="Times New Roman" w:cs="Times New Roman"/>
          <w:b/>
          <w:sz w:val="28"/>
          <w:szCs w:val="28"/>
        </w:rPr>
      </w:pPr>
      <w:r w:rsidRPr="00115C82">
        <w:rPr>
          <w:rFonts w:ascii="Times New Roman" w:hAnsi="Times New Roman" w:cs="Times New Roman"/>
          <w:b/>
          <w:sz w:val="28"/>
          <w:szCs w:val="28"/>
        </w:rPr>
        <w:t>ТА РИЗИКИ ДЕФОЛТУ: СВІТОВИЙ ДОСВІД</w:t>
      </w:r>
    </w:p>
    <w:p w:rsidR="00FB7419" w:rsidRPr="00115C82" w:rsidRDefault="00FB7419" w:rsidP="006327D8">
      <w:pPr>
        <w:jc w:val="right"/>
        <w:rPr>
          <w:rFonts w:ascii="Times New Roman" w:hAnsi="Times New Roman" w:cs="Times New Roman"/>
          <w:b/>
          <w:sz w:val="28"/>
          <w:szCs w:val="28"/>
        </w:rPr>
      </w:pPr>
      <w:r w:rsidRPr="00115C82">
        <w:rPr>
          <w:rFonts w:ascii="Times New Roman" w:hAnsi="Times New Roman" w:cs="Times New Roman"/>
          <w:b/>
          <w:sz w:val="28"/>
          <w:szCs w:val="28"/>
        </w:rPr>
        <w:t>Біла</w:t>
      </w:r>
      <w:r w:rsidRPr="00FB7419">
        <w:rPr>
          <w:rFonts w:ascii="Times New Roman" w:hAnsi="Times New Roman" w:cs="Times New Roman"/>
          <w:b/>
          <w:sz w:val="28"/>
          <w:szCs w:val="28"/>
        </w:rPr>
        <w:t xml:space="preserve"> С.О.</w:t>
      </w:r>
      <w:r w:rsidRPr="00115C82">
        <w:rPr>
          <w:rFonts w:ascii="Times New Roman" w:hAnsi="Times New Roman" w:cs="Times New Roman"/>
          <w:b/>
          <w:sz w:val="28"/>
          <w:szCs w:val="28"/>
        </w:rPr>
        <w:t xml:space="preserve">, </w:t>
      </w:r>
    </w:p>
    <w:p w:rsidR="00FB7419"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lang w:val="ru-RU"/>
        </w:rPr>
        <w:t>п</w:t>
      </w:r>
      <w:proofErr w:type="spellStart"/>
      <w:r w:rsidRPr="00B00634">
        <w:rPr>
          <w:rFonts w:ascii="Times New Roman" w:hAnsi="Times New Roman" w:cs="Times New Roman"/>
          <w:b/>
          <w:sz w:val="28"/>
          <w:szCs w:val="28"/>
        </w:rPr>
        <w:t>рофесор</w:t>
      </w:r>
      <w:proofErr w:type="spellEnd"/>
      <w:r w:rsidRPr="00B00634">
        <w:rPr>
          <w:rFonts w:ascii="Times New Roman" w:hAnsi="Times New Roman" w:cs="Times New Roman"/>
          <w:b/>
          <w:sz w:val="28"/>
          <w:szCs w:val="28"/>
        </w:rPr>
        <w:t xml:space="preserve">, </w:t>
      </w:r>
      <w:proofErr w:type="spellStart"/>
      <w:r w:rsidRPr="00B00634">
        <w:rPr>
          <w:rFonts w:ascii="Times New Roman" w:hAnsi="Times New Roman" w:cs="Times New Roman"/>
          <w:b/>
          <w:sz w:val="28"/>
          <w:szCs w:val="28"/>
        </w:rPr>
        <w:t>д.н.д.у</w:t>
      </w:r>
      <w:proofErr w:type="spellEnd"/>
      <w:r w:rsidRPr="00B00634">
        <w:rPr>
          <w:rFonts w:ascii="Times New Roman" w:hAnsi="Times New Roman" w:cs="Times New Roman"/>
          <w:b/>
          <w:sz w:val="28"/>
          <w:szCs w:val="28"/>
        </w:rPr>
        <w:t>., заслужений економіст України,</w:t>
      </w:r>
    </w:p>
    <w:p w:rsidR="00FB7419"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rPr>
        <w:t xml:space="preserve">професор кафедри </w:t>
      </w:r>
      <w:r w:rsidRPr="00B00634">
        <w:rPr>
          <w:rFonts w:ascii="Times New Roman" w:hAnsi="Times New Roman" w:cs="Times New Roman"/>
          <w:b/>
          <w:sz w:val="28"/>
          <w:szCs w:val="28"/>
          <w:lang w:val="ru-RU"/>
        </w:rPr>
        <w:t>м</w:t>
      </w:r>
      <w:proofErr w:type="spellStart"/>
      <w:r w:rsidRPr="00B00634">
        <w:rPr>
          <w:rFonts w:ascii="Times New Roman" w:hAnsi="Times New Roman" w:cs="Times New Roman"/>
          <w:b/>
          <w:sz w:val="28"/>
          <w:szCs w:val="28"/>
        </w:rPr>
        <w:t>іжнародних</w:t>
      </w:r>
      <w:proofErr w:type="spellEnd"/>
      <w:r w:rsidRPr="00B00634">
        <w:rPr>
          <w:rFonts w:ascii="Times New Roman" w:hAnsi="Times New Roman" w:cs="Times New Roman"/>
          <w:b/>
          <w:sz w:val="28"/>
          <w:szCs w:val="28"/>
        </w:rPr>
        <w:t xml:space="preserve"> економічних відносин </w:t>
      </w:r>
      <w:r w:rsidRPr="00B00634">
        <w:rPr>
          <w:rFonts w:ascii="Times New Roman" w:hAnsi="Times New Roman" w:cs="Times New Roman"/>
          <w:b/>
          <w:sz w:val="28"/>
          <w:szCs w:val="28"/>
          <w:lang w:val="ru-RU"/>
        </w:rPr>
        <w:t>і</w:t>
      </w:r>
      <w:r w:rsidRPr="00B00634">
        <w:rPr>
          <w:rFonts w:ascii="Times New Roman" w:hAnsi="Times New Roman" w:cs="Times New Roman"/>
          <w:b/>
          <w:sz w:val="28"/>
          <w:szCs w:val="28"/>
        </w:rPr>
        <w:t xml:space="preserve"> бізнесу</w:t>
      </w:r>
    </w:p>
    <w:p w:rsidR="00FB7419"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rPr>
        <w:t xml:space="preserve">навчально-наукового інституту міжнародних відносин </w:t>
      </w:r>
    </w:p>
    <w:p w:rsidR="00FB7419"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rPr>
        <w:t>Національного авіаційного університету</w:t>
      </w:r>
      <w:r w:rsidR="00B00634" w:rsidRPr="00B00634">
        <w:rPr>
          <w:rFonts w:ascii="Times New Roman" w:hAnsi="Times New Roman" w:cs="Times New Roman"/>
          <w:b/>
          <w:sz w:val="28"/>
          <w:szCs w:val="28"/>
        </w:rPr>
        <w:t xml:space="preserve">, </w:t>
      </w:r>
      <w:r w:rsidRPr="00B00634">
        <w:rPr>
          <w:rFonts w:ascii="Times New Roman" w:hAnsi="Times New Roman" w:cs="Times New Roman"/>
          <w:b/>
          <w:sz w:val="28"/>
          <w:szCs w:val="28"/>
        </w:rPr>
        <w:t>ННІМВ НАУ, м. Київ, Україна</w:t>
      </w:r>
    </w:p>
    <w:p w:rsidR="001620A7" w:rsidRPr="00115C82" w:rsidRDefault="001620A7" w:rsidP="006327D8">
      <w:pPr>
        <w:jc w:val="right"/>
        <w:rPr>
          <w:rFonts w:ascii="Times New Roman" w:hAnsi="Times New Roman" w:cs="Times New Roman"/>
          <w:b/>
          <w:sz w:val="28"/>
          <w:szCs w:val="28"/>
        </w:rPr>
      </w:pPr>
      <w:proofErr w:type="spellStart"/>
      <w:r w:rsidRPr="00115C82">
        <w:rPr>
          <w:rFonts w:ascii="Times New Roman" w:hAnsi="Times New Roman" w:cs="Times New Roman"/>
          <w:b/>
          <w:sz w:val="28"/>
          <w:szCs w:val="28"/>
        </w:rPr>
        <w:t>Левченко</w:t>
      </w:r>
      <w:proofErr w:type="spellEnd"/>
      <w:r w:rsidR="00FB7419">
        <w:rPr>
          <w:rFonts w:ascii="Times New Roman" w:hAnsi="Times New Roman" w:cs="Times New Roman"/>
          <w:b/>
          <w:sz w:val="28"/>
          <w:szCs w:val="28"/>
        </w:rPr>
        <w:t xml:space="preserve"> О.Т.</w:t>
      </w:r>
    </w:p>
    <w:p w:rsidR="00B00634"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rPr>
        <w:t>с</w:t>
      </w:r>
      <w:r w:rsidR="001620A7" w:rsidRPr="00B00634">
        <w:rPr>
          <w:rFonts w:ascii="Times New Roman" w:hAnsi="Times New Roman" w:cs="Times New Roman"/>
          <w:b/>
          <w:sz w:val="28"/>
          <w:szCs w:val="28"/>
        </w:rPr>
        <w:t xml:space="preserve">тудентка </w:t>
      </w:r>
      <w:r w:rsidRPr="00B00634">
        <w:rPr>
          <w:rFonts w:ascii="Times New Roman" w:hAnsi="Times New Roman" w:cs="Times New Roman"/>
          <w:b/>
          <w:sz w:val="28"/>
          <w:szCs w:val="28"/>
        </w:rPr>
        <w:t xml:space="preserve">магістратури </w:t>
      </w:r>
      <w:r w:rsidR="00B00634" w:rsidRPr="00B00634">
        <w:rPr>
          <w:rFonts w:ascii="Times New Roman" w:hAnsi="Times New Roman" w:cs="Times New Roman"/>
          <w:b/>
          <w:sz w:val="28"/>
          <w:szCs w:val="28"/>
          <w:lang w:val="en-US"/>
        </w:rPr>
        <w:t>V</w:t>
      </w:r>
      <w:r w:rsidR="00B00634" w:rsidRPr="00B00634">
        <w:rPr>
          <w:rFonts w:ascii="Times New Roman" w:hAnsi="Times New Roman" w:cs="Times New Roman"/>
          <w:b/>
          <w:sz w:val="28"/>
          <w:szCs w:val="28"/>
        </w:rPr>
        <w:t xml:space="preserve"> курсу </w:t>
      </w:r>
    </w:p>
    <w:p w:rsidR="00B00634" w:rsidRPr="00B00634" w:rsidRDefault="00FB7419" w:rsidP="006327D8">
      <w:pPr>
        <w:jc w:val="right"/>
        <w:rPr>
          <w:rFonts w:ascii="Times New Roman" w:hAnsi="Times New Roman" w:cs="Times New Roman"/>
          <w:b/>
          <w:sz w:val="28"/>
          <w:szCs w:val="28"/>
        </w:rPr>
      </w:pPr>
      <w:r w:rsidRPr="00B00634">
        <w:rPr>
          <w:rFonts w:ascii="Times New Roman" w:hAnsi="Times New Roman" w:cs="Times New Roman"/>
          <w:b/>
          <w:sz w:val="28"/>
          <w:szCs w:val="28"/>
        </w:rPr>
        <w:t>кафедри міжнародних економічних відносин і бізнесу</w:t>
      </w:r>
      <w:r w:rsidR="00B00634" w:rsidRPr="00B00634">
        <w:rPr>
          <w:rFonts w:ascii="Times New Roman" w:hAnsi="Times New Roman" w:cs="Times New Roman"/>
          <w:b/>
          <w:sz w:val="28"/>
          <w:szCs w:val="28"/>
        </w:rPr>
        <w:t xml:space="preserve"> </w:t>
      </w:r>
    </w:p>
    <w:p w:rsidR="001620A7" w:rsidRPr="00B00634" w:rsidRDefault="001620A7" w:rsidP="006327D8">
      <w:pPr>
        <w:jc w:val="right"/>
        <w:rPr>
          <w:rFonts w:ascii="Times New Roman" w:hAnsi="Times New Roman" w:cs="Times New Roman"/>
          <w:b/>
          <w:sz w:val="28"/>
          <w:szCs w:val="28"/>
        </w:rPr>
      </w:pPr>
      <w:r w:rsidRPr="00B00634">
        <w:rPr>
          <w:rFonts w:ascii="Times New Roman" w:hAnsi="Times New Roman" w:cs="Times New Roman"/>
          <w:b/>
          <w:sz w:val="28"/>
          <w:szCs w:val="28"/>
        </w:rPr>
        <w:t xml:space="preserve">ННІМВ НАУ, м. Київ, Україна </w:t>
      </w:r>
    </w:p>
    <w:p w:rsidR="001620A7" w:rsidRDefault="001620A7" w:rsidP="006327D8">
      <w:pPr>
        <w:jc w:val="both"/>
        <w:rPr>
          <w:rFonts w:ascii="Times New Roman" w:hAnsi="Times New Roman" w:cs="Times New Roman"/>
          <w:sz w:val="28"/>
          <w:szCs w:val="28"/>
        </w:rPr>
      </w:pPr>
    </w:p>
    <w:p w:rsidR="006B3109" w:rsidRDefault="003015A7" w:rsidP="006327D8">
      <w:pPr>
        <w:ind w:firstLine="284"/>
        <w:jc w:val="both"/>
        <w:rPr>
          <w:rFonts w:ascii="Times New Roman" w:hAnsi="Times New Roman" w:cs="Times New Roman"/>
          <w:sz w:val="28"/>
          <w:szCs w:val="28"/>
        </w:rPr>
      </w:pPr>
      <w:r w:rsidRPr="0053336F">
        <w:rPr>
          <w:rFonts w:ascii="Times New Roman" w:hAnsi="Times New Roman" w:cs="Times New Roman"/>
          <w:b/>
          <w:sz w:val="28"/>
          <w:szCs w:val="28"/>
        </w:rPr>
        <w:t>Анотація та ключові слова.</w:t>
      </w:r>
      <w:r>
        <w:rPr>
          <w:rFonts w:ascii="Times New Roman" w:hAnsi="Times New Roman" w:cs="Times New Roman"/>
          <w:sz w:val="28"/>
          <w:szCs w:val="28"/>
        </w:rPr>
        <w:t xml:space="preserve"> У статті досліджено світову практику визначення шляхів погашення зовнішньої заборгованості та мінімізації ризиків настання дефолту на прикладі розвинутих країн світу (Японія, Франція, Греція, Ірландія), а також країн, що розвиваються – Мексика та Аргентина. Визначено стратегічні п</w:t>
      </w:r>
      <w:r w:rsidR="00966922">
        <w:rPr>
          <w:rFonts w:ascii="Times New Roman" w:hAnsi="Times New Roman" w:cs="Times New Roman"/>
          <w:sz w:val="28"/>
          <w:szCs w:val="28"/>
        </w:rPr>
        <w:t>ріоритети</w:t>
      </w:r>
      <w:r w:rsidR="00966922" w:rsidRPr="00966922">
        <w:rPr>
          <w:rFonts w:ascii="Times New Roman" w:hAnsi="Times New Roman" w:cs="Times New Roman"/>
          <w:sz w:val="28"/>
          <w:szCs w:val="28"/>
        </w:rPr>
        <w:t xml:space="preserve"> </w:t>
      </w:r>
      <w:r w:rsidR="00966922">
        <w:rPr>
          <w:rFonts w:ascii="Times New Roman" w:hAnsi="Times New Roman" w:cs="Times New Roman"/>
          <w:sz w:val="28"/>
          <w:szCs w:val="28"/>
        </w:rPr>
        <w:t xml:space="preserve">розрахунків із зовнішніми боргами </w:t>
      </w:r>
      <w:r>
        <w:rPr>
          <w:rFonts w:ascii="Times New Roman" w:hAnsi="Times New Roman" w:cs="Times New Roman"/>
          <w:sz w:val="28"/>
          <w:szCs w:val="28"/>
        </w:rPr>
        <w:t>та стандартні монетарні рекомендації, що надаються країнам-боржникам для</w:t>
      </w:r>
      <w:r w:rsidR="00966922">
        <w:rPr>
          <w:rFonts w:ascii="Times New Roman" w:hAnsi="Times New Roman" w:cs="Times New Roman"/>
          <w:sz w:val="28"/>
          <w:szCs w:val="28"/>
        </w:rPr>
        <w:t xml:space="preserve"> зменшення зовнішнього боргу</w:t>
      </w:r>
      <w:r>
        <w:rPr>
          <w:rFonts w:ascii="Times New Roman" w:hAnsi="Times New Roman" w:cs="Times New Roman"/>
          <w:sz w:val="28"/>
          <w:szCs w:val="28"/>
        </w:rPr>
        <w:t>. Особлив</w:t>
      </w:r>
      <w:r w:rsidR="0053336F">
        <w:rPr>
          <w:rFonts w:ascii="Times New Roman" w:hAnsi="Times New Roman" w:cs="Times New Roman"/>
          <w:sz w:val="28"/>
          <w:szCs w:val="28"/>
        </w:rPr>
        <w:t>у</w:t>
      </w:r>
      <w:r>
        <w:rPr>
          <w:rFonts w:ascii="Times New Roman" w:hAnsi="Times New Roman" w:cs="Times New Roman"/>
          <w:sz w:val="28"/>
          <w:szCs w:val="28"/>
        </w:rPr>
        <w:t xml:space="preserve"> уваг</w:t>
      </w:r>
      <w:r w:rsidR="0053336F">
        <w:rPr>
          <w:rFonts w:ascii="Times New Roman" w:hAnsi="Times New Roman" w:cs="Times New Roman"/>
          <w:sz w:val="28"/>
          <w:szCs w:val="28"/>
        </w:rPr>
        <w:t>у</w:t>
      </w:r>
      <w:r>
        <w:rPr>
          <w:rFonts w:ascii="Times New Roman" w:hAnsi="Times New Roman" w:cs="Times New Roman"/>
          <w:sz w:val="28"/>
          <w:szCs w:val="28"/>
        </w:rPr>
        <w:t xml:space="preserve"> приділен</w:t>
      </w:r>
      <w:r w:rsidR="0053336F">
        <w:rPr>
          <w:rFonts w:ascii="Times New Roman" w:hAnsi="Times New Roman" w:cs="Times New Roman"/>
          <w:sz w:val="28"/>
          <w:szCs w:val="28"/>
        </w:rPr>
        <w:t>о</w:t>
      </w:r>
      <w:r>
        <w:rPr>
          <w:rFonts w:ascii="Times New Roman" w:hAnsi="Times New Roman" w:cs="Times New Roman"/>
          <w:sz w:val="28"/>
          <w:szCs w:val="28"/>
        </w:rPr>
        <w:t xml:space="preserve"> ризикам </w:t>
      </w:r>
      <w:r w:rsidR="0053336F">
        <w:rPr>
          <w:rFonts w:ascii="Times New Roman" w:hAnsi="Times New Roman" w:cs="Times New Roman"/>
          <w:sz w:val="28"/>
          <w:szCs w:val="28"/>
        </w:rPr>
        <w:t>настання «технічного» та «повного» дефолту</w:t>
      </w:r>
      <w:r w:rsidR="006B3109">
        <w:rPr>
          <w:rFonts w:ascii="Times New Roman" w:hAnsi="Times New Roman" w:cs="Times New Roman"/>
          <w:sz w:val="28"/>
          <w:szCs w:val="28"/>
        </w:rPr>
        <w:t xml:space="preserve">, </w:t>
      </w:r>
      <w:r w:rsidR="0053336F">
        <w:rPr>
          <w:rFonts w:ascii="Times New Roman" w:hAnsi="Times New Roman" w:cs="Times New Roman"/>
          <w:sz w:val="28"/>
          <w:szCs w:val="28"/>
        </w:rPr>
        <w:t xml:space="preserve">їх </w:t>
      </w:r>
      <w:r>
        <w:rPr>
          <w:rFonts w:ascii="Times New Roman" w:hAnsi="Times New Roman" w:cs="Times New Roman"/>
          <w:sz w:val="28"/>
          <w:szCs w:val="28"/>
        </w:rPr>
        <w:t>соціально-економічн</w:t>
      </w:r>
      <w:r w:rsidR="006B3109">
        <w:rPr>
          <w:rFonts w:ascii="Times New Roman" w:hAnsi="Times New Roman" w:cs="Times New Roman"/>
          <w:sz w:val="28"/>
          <w:szCs w:val="28"/>
        </w:rPr>
        <w:t xml:space="preserve">их наслідків для країни. </w:t>
      </w:r>
      <w:r>
        <w:rPr>
          <w:rFonts w:ascii="Times New Roman" w:hAnsi="Times New Roman" w:cs="Times New Roman"/>
          <w:sz w:val="28"/>
          <w:szCs w:val="28"/>
        </w:rPr>
        <w:t xml:space="preserve">Розглянуто </w:t>
      </w:r>
      <w:r w:rsidR="00966922">
        <w:rPr>
          <w:rFonts w:ascii="Times New Roman" w:hAnsi="Times New Roman" w:cs="Times New Roman"/>
          <w:sz w:val="28"/>
          <w:szCs w:val="28"/>
        </w:rPr>
        <w:t xml:space="preserve">очікувані соціально-економічні наслідки виходу країни із </w:t>
      </w:r>
      <w:proofErr w:type="spellStart"/>
      <w:r w:rsidR="00966922">
        <w:rPr>
          <w:rFonts w:ascii="Times New Roman" w:hAnsi="Times New Roman" w:cs="Times New Roman"/>
          <w:sz w:val="28"/>
          <w:szCs w:val="28"/>
        </w:rPr>
        <w:t>дефолтного</w:t>
      </w:r>
      <w:proofErr w:type="spellEnd"/>
      <w:r w:rsidR="00966922">
        <w:rPr>
          <w:rFonts w:ascii="Times New Roman" w:hAnsi="Times New Roman" w:cs="Times New Roman"/>
          <w:sz w:val="28"/>
          <w:szCs w:val="28"/>
        </w:rPr>
        <w:t xml:space="preserve"> стану та погашення зовнішньої заборгованості на основі застосування рекомендацій політики «затягування пасків»</w:t>
      </w:r>
      <w:r w:rsidR="0053336F">
        <w:rPr>
          <w:rFonts w:ascii="Times New Roman" w:hAnsi="Times New Roman" w:cs="Times New Roman"/>
          <w:sz w:val="28"/>
          <w:szCs w:val="28"/>
        </w:rPr>
        <w:t xml:space="preserve">. </w:t>
      </w:r>
      <w:proofErr w:type="spellStart"/>
      <w:r w:rsidR="0053336F">
        <w:rPr>
          <w:rFonts w:ascii="Times New Roman" w:hAnsi="Times New Roman" w:cs="Times New Roman"/>
          <w:sz w:val="28"/>
          <w:szCs w:val="28"/>
        </w:rPr>
        <w:t>Обгрунтовано</w:t>
      </w:r>
      <w:proofErr w:type="spellEnd"/>
      <w:r w:rsidR="0053336F">
        <w:rPr>
          <w:rFonts w:ascii="Times New Roman" w:hAnsi="Times New Roman" w:cs="Times New Roman"/>
          <w:sz w:val="28"/>
          <w:szCs w:val="28"/>
        </w:rPr>
        <w:t xml:space="preserve"> пріоритетність дотримання країною національних економічних інтересів в процесі погашення зовнішньої заборгованості </w:t>
      </w:r>
      <w:r w:rsidR="006B3109">
        <w:rPr>
          <w:rFonts w:ascii="Times New Roman" w:hAnsi="Times New Roman" w:cs="Times New Roman"/>
          <w:sz w:val="28"/>
          <w:szCs w:val="28"/>
        </w:rPr>
        <w:t xml:space="preserve">на основі збільшення експорту та </w:t>
      </w:r>
      <w:r w:rsidR="00966922">
        <w:rPr>
          <w:rFonts w:ascii="Times New Roman" w:hAnsi="Times New Roman" w:cs="Times New Roman"/>
          <w:sz w:val="28"/>
          <w:szCs w:val="28"/>
        </w:rPr>
        <w:t>стимулювання національного виробництва</w:t>
      </w:r>
      <w:r w:rsidR="006B3109">
        <w:rPr>
          <w:rFonts w:ascii="Times New Roman" w:hAnsi="Times New Roman" w:cs="Times New Roman"/>
          <w:sz w:val="28"/>
          <w:szCs w:val="28"/>
        </w:rPr>
        <w:t>.</w:t>
      </w:r>
    </w:p>
    <w:p w:rsidR="00297E62" w:rsidRPr="00115C82" w:rsidRDefault="001620A7" w:rsidP="006327D8">
      <w:pPr>
        <w:ind w:firstLine="284"/>
        <w:jc w:val="both"/>
        <w:rPr>
          <w:rFonts w:ascii="Times New Roman" w:hAnsi="Times New Roman" w:cs="Times New Roman"/>
          <w:sz w:val="28"/>
          <w:szCs w:val="28"/>
        </w:rPr>
      </w:pPr>
      <w:r w:rsidRPr="00B94C04">
        <w:rPr>
          <w:rFonts w:ascii="Times New Roman" w:hAnsi="Times New Roman" w:cs="Times New Roman"/>
          <w:b/>
          <w:sz w:val="28"/>
          <w:szCs w:val="28"/>
        </w:rPr>
        <w:t>Ключові слова.</w:t>
      </w:r>
      <w:r w:rsidRPr="00115C82">
        <w:rPr>
          <w:rFonts w:ascii="Times New Roman" w:hAnsi="Times New Roman" w:cs="Times New Roman"/>
          <w:sz w:val="28"/>
          <w:szCs w:val="28"/>
        </w:rPr>
        <w:t xml:space="preserve"> </w:t>
      </w:r>
      <w:r w:rsidR="0053336F">
        <w:rPr>
          <w:rFonts w:ascii="Times New Roman" w:hAnsi="Times New Roman" w:cs="Times New Roman"/>
          <w:sz w:val="28"/>
          <w:szCs w:val="28"/>
        </w:rPr>
        <w:t>Зовнішня заборгованість; б</w:t>
      </w:r>
      <w:r w:rsidRPr="00115C82">
        <w:rPr>
          <w:rFonts w:ascii="Times New Roman" w:hAnsi="Times New Roman" w:cs="Times New Roman"/>
          <w:sz w:val="28"/>
          <w:szCs w:val="28"/>
        </w:rPr>
        <w:t>оргова</w:t>
      </w:r>
      <w:r w:rsidR="0053336F">
        <w:rPr>
          <w:rFonts w:ascii="Times New Roman" w:hAnsi="Times New Roman" w:cs="Times New Roman"/>
          <w:sz w:val="28"/>
          <w:szCs w:val="28"/>
        </w:rPr>
        <w:t xml:space="preserve"> </w:t>
      </w:r>
      <w:r w:rsidRPr="00115C82">
        <w:rPr>
          <w:rFonts w:ascii="Times New Roman" w:hAnsi="Times New Roman" w:cs="Times New Roman"/>
          <w:sz w:val="28"/>
          <w:szCs w:val="28"/>
        </w:rPr>
        <w:t>криза, державний борг</w:t>
      </w:r>
      <w:r w:rsidR="0053336F">
        <w:rPr>
          <w:rFonts w:ascii="Times New Roman" w:hAnsi="Times New Roman" w:cs="Times New Roman"/>
          <w:sz w:val="28"/>
          <w:szCs w:val="28"/>
        </w:rPr>
        <w:t xml:space="preserve">; реструктуризація боргу; ризики дефолту; </w:t>
      </w:r>
      <w:r w:rsidR="0058629A" w:rsidRPr="00115C82">
        <w:rPr>
          <w:rFonts w:ascii="Times New Roman" w:hAnsi="Times New Roman" w:cs="Times New Roman"/>
          <w:sz w:val="28"/>
          <w:szCs w:val="28"/>
        </w:rPr>
        <w:t xml:space="preserve">технічний </w:t>
      </w:r>
      <w:r w:rsidR="0053336F">
        <w:rPr>
          <w:rFonts w:ascii="Times New Roman" w:hAnsi="Times New Roman" w:cs="Times New Roman"/>
          <w:sz w:val="28"/>
          <w:szCs w:val="28"/>
        </w:rPr>
        <w:t>дефолт; повний дефолт; соціально-економічні наслідки дефолту.</w:t>
      </w:r>
    </w:p>
    <w:p w:rsidR="007951C1" w:rsidRPr="00F555AC" w:rsidRDefault="007951C1" w:rsidP="006327D8">
      <w:pPr>
        <w:jc w:val="right"/>
        <w:rPr>
          <w:rFonts w:ascii="Times New Roman" w:hAnsi="Times New Roman" w:cs="Times New Roman"/>
          <w:b/>
          <w:sz w:val="28"/>
          <w:szCs w:val="28"/>
          <w:lang w:val="ru-RU"/>
        </w:rPr>
      </w:pPr>
      <w:r>
        <w:rPr>
          <w:rFonts w:ascii="Times New Roman" w:hAnsi="Times New Roman" w:cs="Times New Roman"/>
          <w:b/>
          <w:sz w:val="28"/>
          <w:szCs w:val="28"/>
          <w:lang w:val="ru-RU"/>
        </w:rPr>
        <w:t>Белая С.А.</w:t>
      </w:r>
      <w:r w:rsidRPr="00F555AC">
        <w:rPr>
          <w:rFonts w:ascii="Times New Roman" w:hAnsi="Times New Roman" w:cs="Times New Roman"/>
          <w:b/>
          <w:sz w:val="28"/>
          <w:szCs w:val="28"/>
          <w:lang w:val="ru-RU"/>
        </w:rPr>
        <w:t xml:space="preserve"> </w:t>
      </w:r>
    </w:p>
    <w:p w:rsidR="007951C1" w:rsidRPr="00F555AC" w:rsidRDefault="007951C1" w:rsidP="006327D8">
      <w:pPr>
        <w:jc w:val="right"/>
        <w:rPr>
          <w:rFonts w:ascii="Times New Roman" w:hAnsi="Times New Roman" w:cs="Times New Roman"/>
          <w:sz w:val="28"/>
          <w:szCs w:val="28"/>
          <w:lang w:val="ru-RU"/>
        </w:rPr>
      </w:pPr>
      <w:r w:rsidRPr="00F555AC">
        <w:rPr>
          <w:rFonts w:ascii="Times New Roman" w:hAnsi="Times New Roman" w:cs="Times New Roman"/>
          <w:sz w:val="28"/>
          <w:szCs w:val="28"/>
          <w:lang w:val="ru-RU"/>
        </w:rPr>
        <w:t xml:space="preserve">проф., </w:t>
      </w:r>
      <w:proofErr w:type="spellStart"/>
      <w:r w:rsidRPr="00F555AC">
        <w:rPr>
          <w:rFonts w:ascii="Times New Roman" w:hAnsi="Times New Roman" w:cs="Times New Roman"/>
          <w:sz w:val="28"/>
          <w:szCs w:val="28"/>
          <w:lang w:val="ru-RU"/>
        </w:rPr>
        <w:t>д.н.гос.упр</w:t>
      </w:r>
      <w:proofErr w:type="spellEnd"/>
      <w:r w:rsidRPr="00F555AC">
        <w:rPr>
          <w:rFonts w:ascii="Times New Roman" w:hAnsi="Times New Roman" w:cs="Times New Roman"/>
          <w:sz w:val="28"/>
          <w:szCs w:val="28"/>
          <w:lang w:val="ru-RU"/>
        </w:rPr>
        <w:t>., заслуженный экономист Украины</w:t>
      </w:r>
    </w:p>
    <w:p w:rsidR="007951C1" w:rsidRPr="00F555AC" w:rsidRDefault="007951C1" w:rsidP="006327D8">
      <w:pPr>
        <w:jc w:val="right"/>
        <w:rPr>
          <w:rFonts w:ascii="Times New Roman" w:hAnsi="Times New Roman" w:cs="Times New Roman"/>
          <w:sz w:val="28"/>
          <w:szCs w:val="28"/>
          <w:lang w:val="ru-RU"/>
        </w:rPr>
      </w:pPr>
      <w:r w:rsidRPr="00F555AC">
        <w:rPr>
          <w:rFonts w:ascii="Times New Roman" w:hAnsi="Times New Roman" w:cs="Times New Roman"/>
          <w:sz w:val="28"/>
          <w:szCs w:val="28"/>
          <w:lang w:val="ru-RU"/>
        </w:rPr>
        <w:t>профессор кафедры международных экономических отношений</w:t>
      </w:r>
      <w:r>
        <w:rPr>
          <w:rFonts w:ascii="Times New Roman" w:hAnsi="Times New Roman" w:cs="Times New Roman"/>
          <w:sz w:val="28"/>
          <w:szCs w:val="28"/>
          <w:lang w:val="ru-RU"/>
        </w:rPr>
        <w:t xml:space="preserve"> и бизнеса</w:t>
      </w:r>
      <w:r w:rsidRPr="00F555AC">
        <w:rPr>
          <w:rFonts w:ascii="Times New Roman" w:hAnsi="Times New Roman" w:cs="Times New Roman"/>
          <w:sz w:val="28"/>
          <w:szCs w:val="28"/>
          <w:lang w:val="ru-RU"/>
        </w:rPr>
        <w:t xml:space="preserve"> </w:t>
      </w:r>
    </w:p>
    <w:p w:rsidR="007951C1" w:rsidRPr="00F555AC" w:rsidRDefault="007951C1" w:rsidP="006327D8">
      <w:pPr>
        <w:jc w:val="right"/>
        <w:rPr>
          <w:rFonts w:ascii="Times New Roman" w:hAnsi="Times New Roman" w:cs="Times New Roman"/>
          <w:sz w:val="28"/>
          <w:szCs w:val="28"/>
          <w:lang w:val="ru-RU"/>
        </w:rPr>
      </w:pPr>
      <w:r w:rsidRPr="00F555AC">
        <w:rPr>
          <w:rFonts w:ascii="Times New Roman" w:hAnsi="Times New Roman" w:cs="Times New Roman"/>
          <w:sz w:val="28"/>
          <w:szCs w:val="28"/>
          <w:lang w:val="ru-RU"/>
        </w:rPr>
        <w:t>Учебно-научного института международных отношений</w:t>
      </w:r>
    </w:p>
    <w:p w:rsidR="007951C1" w:rsidRPr="00F555AC" w:rsidRDefault="007951C1" w:rsidP="006327D8">
      <w:pPr>
        <w:jc w:val="right"/>
        <w:rPr>
          <w:rFonts w:ascii="Times New Roman" w:hAnsi="Times New Roman" w:cs="Times New Roman"/>
          <w:sz w:val="28"/>
          <w:szCs w:val="28"/>
          <w:lang w:val="ru-RU"/>
        </w:rPr>
      </w:pPr>
      <w:r w:rsidRPr="00F555AC">
        <w:rPr>
          <w:rFonts w:ascii="Times New Roman" w:hAnsi="Times New Roman" w:cs="Times New Roman"/>
          <w:sz w:val="28"/>
          <w:szCs w:val="28"/>
          <w:lang w:val="ru-RU"/>
        </w:rPr>
        <w:t>Национального авиационного университета</w:t>
      </w:r>
    </w:p>
    <w:p w:rsidR="007951C1" w:rsidRDefault="007951C1" w:rsidP="006327D8">
      <w:pPr>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Pr="00F555AC">
        <w:rPr>
          <w:rFonts w:ascii="Times New Roman" w:hAnsi="Times New Roman" w:cs="Times New Roman"/>
          <w:sz w:val="28"/>
          <w:szCs w:val="28"/>
          <w:lang w:val="ru-RU"/>
        </w:rPr>
        <w:t>УНИМО НАУ</w:t>
      </w:r>
      <w:r>
        <w:rPr>
          <w:rFonts w:ascii="Times New Roman" w:hAnsi="Times New Roman" w:cs="Times New Roman"/>
          <w:sz w:val="28"/>
          <w:szCs w:val="28"/>
          <w:lang w:val="ru-RU"/>
        </w:rPr>
        <w:t>)</w:t>
      </w:r>
      <w:r w:rsidRPr="00F555AC">
        <w:rPr>
          <w:rFonts w:ascii="Times New Roman" w:hAnsi="Times New Roman" w:cs="Times New Roman"/>
          <w:sz w:val="28"/>
          <w:szCs w:val="28"/>
          <w:lang w:val="ru-RU"/>
        </w:rPr>
        <w:t>, г. Киев</w:t>
      </w:r>
    </w:p>
    <w:p w:rsidR="00172436" w:rsidRDefault="00172436" w:rsidP="006327D8">
      <w:pPr>
        <w:jc w:val="right"/>
        <w:rPr>
          <w:rFonts w:ascii="Times New Roman" w:hAnsi="Times New Roman" w:cs="Times New Roman"/>
          <w:b/>
          <w:sz w:val="28"/>
          <w:szCs w:val="28"/>
          <w:lang w:val="ru-RU"/>
        </w:rPr>
      </w:pPr>
      <w:r w:rsidRPr="00172436">
        <w:rPr>
          <w:rFonts w:ascii="Times New Roman" w:hAnsi="Times New Roman" w:cs="Times New Roman"/>
          <w:b/>
          <w:sz w:val="28"/>
          <w:szCs w:val="28"/>
          <w:lang w:val="ru-RU"/>
        </w:rPr>
        <w:t>Левченко А.Т.</w:t>
      </w:r>
    </w:p>
    <w:p w:rsidR="00172436" w:rsidRPr="00172436" w:rsidRDefault="00272808" w:rsidP="006327D8">
      <w:pPr>
        <w:jc w:val="right"/>
        <w:rPr>
          <w:rFonts w:ascii="Times New Roman" w:hAnsi="Times New Roman" w:cs="Times New Roman"/>
          <w:sz w:val="28"/>
          <w:szCs w:val="28"/>
        </w:rPr>
      </w:pPr>
      <w:r>
        <w:rPr>
          <w:rFonts w:ascii="Times New Roman" w:hAnsi="Times New Roman" w:cs="Times New Roman"/>
          <w:sz w:val="28"/>
          <w:szCs w:val="28"/>
        </w:rPr>
        <w:t xml:space="preserve">студентка </w:t>
      </w:r>
      <w:proofErr w:type="spellStart"/>
      <w:r>
        <w:rPr>
          <w:rFonts w:ascii="Times New Roman" w:hAnsi="Times New Roman" w:cs="Times New Roman"/>
          <w:sz w:val="28"/>
          <w:szCs w:val="28"/>
        </w:rPr>
        <w:t>магистратур</w:t>
      </w:r>
      <w:proofErr w:type="spellEnd"/>
      <w:r>
        <w:rPr>
          <w:rFonts w:ascii="Times New Roman" w:hAnsi="Times New Roman" w:cs="Times New Roman"/>
          <w:sz w:val="28"/>
          <w:szCs w:val="28"/>
          <w:lang w:val="ru-RU"/>
        </w:rPr>
        <w:t>ы</w:t>
      </w:r>
      <w:r w:rsidR="00172436" w:rsidRPr="00172436">
        <w:rPr>
          <w:rFonts w:ascii="Times New Roman" w:hAnsi="Times New Roman" w:cs="Times New Roman"/>
          <w:sz w:val="28"/>
          <w:szCs w:val="28"/>
        </w:rPr>
        <w:t xml:space="preserve"> </w:t>
      </w:r>
      <w:r w:rsidR="00172436" w:rsidRPr="00172436">
        <w:rPr>
          <w:rFonts w:ascii="Times New Roman" w:hAnsi="Times New Roman" w:cs="Times New Roman"/>
          <w:sz w:val="28"/>
          <w:szCs w:val="28"/>
          <w:lang w:val="en-US"/>
        </w:rPr>
        <w:t>V</w:t>
      </w:r>
      <w:r w:rsidR="00172436" w:rsidRPr="00172436">
        <w:rPr>
          <w:rFonts w:ascii="Times New Roman" w:hAnsi="Times New Roman" w:cs="Times New Roman"/>
          <w:sz w:val="28"/>
          <w:szCs w:val="28"/>
        </w:rPr>
        <w:t xml:space="preserve"> </w:t>
      </w:r>
      <w:proofErr w:type="spellStart"/>
      <w:r w:rsidR="00172436" w:rsidRPr="00172436">
        <w:rPr>
          <w:rFonts w:ascii="Times New Roman" w:hAnsi="Times New Roman" w:cs="Times New Roman"/>
          <w:sz w:val="28"/>
          <w:szCs w:val="28"/>
        </w:rPr>
        <w:t>курса</w:t>
      </w:r>
      <w:proofErr w:type="spellEnd"/>
      <w:r w:rsidR="00172436" w:rsidRPr="00172436">
        <w:rPr>
          <w:rFonts w:ascii="Times New Roman" w:hAnsi="Times New Roman" w:cs="Times New Roman"/>
          <w:sz w:val="28"/>
          <w:szCs w:val="28"/>
        </w:rPr>
        <w:t xml:space="preserve"> </w:t>
      </w:r>
    </w:p>
    <w:p w:rsidR="00172436" w:rsidRPr="00172436" w:rsidRDefault="00172436" w:rsidP="006327D8">
      <w:pPr>
        <w:jc w:val="right"/>
        <w:rPr>
          <w:rFonts w:ascii="Times New Roman" w:hAnsi="Times New Roman" w:cs="Times New Roman"/>
          <w:sz w:val="28"/>
          <w:szCs w:val="28"/>
        </w:rPr>
      </w:pPr>
      <w:r w:rsidRPr="00172436">
        <w:rPr>
          <w:rFonts w:ascii="Times New Roman" w:hAnsi="Times New Roman" w:cs="Times New Roman"/>
          <w:sz w:val="28"/>
          <w:szCs w:val="28"/>
        </w:rPr>
        <w:t>кафедр</w:t>
      </w:r>
      <w:r w:rsidRPr="00172436">
        <w:rPr>
          <w:rFonts w:ascii="Times New Roman" w:hAnsi="Times New Roman" w:cs="Times New Roman"/>
          <w:sz w:val="28"/>
          <w:szCs w:val="28"/>
          <w:lang w:val="ru-RU"/>
        </w:rPr>
        <w:t>ы</w:t>
      </w:r>
      <w:r w:rsidRPr="00172436">
        <w:rPr>
          <w:rFonts w:ascii="Times New Roman" w:hAnsi="Times New Roman" w:cs="Times New Roman"/>
          <w:sz w:val="28"/>
          <w:szCs w:val="28"/>
        </w:rPr>
        <w:t xml:space="preserve"> </w:t>
      </w:r>
      <w:r w:rsidRPr="00172436">
        <w:rPr>
          <w:rFonts w:ascii="Times New Roman" w:hAnsi="Times New Roman" w:cs="Times New Roman"/>
          <w:sz w:val="28"/>
          <w:szCs w:val="28"/>
          <w:lang w:val="ru-RU"/>
        </w:rPr>
        <w:t>международных экономических отношений и бизнеса</w:t>
      </w:r>
    </w:p>
    <w:p w:rsidR="00172436" w:rsidRDefault="00172436" w:rsidP="006327D8">
      <w:pPr>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Pr="00F555AC">
        <w:rPr>
          <w:rFonts w:ascii="Times New Roman" w:hAnsi="Times New Roman" w:cs="Times New Roman"/>
          <w:sz w:val="28"/>
          <w:szCs w:val="28"/>
          <w:lang w:val="ru-RU"/>
        </w:rPr>
        <w:t>УНИМО НАУ</w:t>
      </w:r>
      <w:r>
        <w:rPr>
          <w:rFonts w:ascii="Times New Roman" w:hAnsi="Times New Roman" w:cs="Times New Roman"/>
          <w:sz w:val="28"/>
          <w:szCs w:val="28"/>
          <w:lang w:val="ru-RU"/>
        </w:rPr>
        <w:t>)</w:t>
      </w:r>
      <w:r w:rsidRPr="00F555AC">
        <w:rPr>
          <w:rFonts w:ascii="Times New Roman" w:hAnsi="Times New Roman" w:cs="Times New Roman"/>
          <w:sz w:val="28"/>
          <w:szCs w:val="28"/>
          <w:lang w:val="ru-RU"/>
        </w:rPr>
        <w:t>, г. Киев</w:t>
      </w:r>
    </w:p>
    <w:p w:rsidR="00272808" w:rsidRPr="00707589" w:rsidRDefault="00272808" w:rsidP="006327D8">
      <w:pPr>
        <w:jc w:val="both"/>
        <w:rPr>
          <w:rFonts w:ascii="Times New Roman" w:hAnsi="Times New Roman" w:cs="Times New Roman"/>
          <w:sz w:val="28"/>
          <w:szCs w:val="28"/>
        </w:rPr>
      </w:pPr>
      <w:r w:rsidRPr="00F6410E">
        <w:rPr>
          <w:rFonts w:ascii="Times New Roman" w:hAnsi="Times New Roman" w:cs="Times New Roman"/>
          <w:sz w:val="28"/>
          <w:szCs w:val="28"/>
        </w:rPr>
        <w:t xml:space="preserve">В </w:t>
      </w:r>
      <w:proofErr w:type="spellStart"/>
      <w:r w:rsidRPr="00F6410E">
        <w:rPr>
          <w:rFonts w:ascii="Times New Roman" w:hAnsi="Times New Roman" w:cs="Times New Roman"/>
          <w:sz w:val="28"/>
          <w:szCs w:val="28"/>
        </w:rPr>
        <w:t>статье</w:t>
      </w:r>
      <w:proofErr w:type="spellEnd"/>
      <w:r w:rsidRPr="00F6410E">
        <w:rPr>
          <w:rFonts w:ascii="Times New Roman" w:hAnsi="Times New Roman" w:cs="Times New Roman"/>
          <w:sz w:val="28"/>
          <w:szCs w:val="28"/>
        </w:rPr>
        <w:t xml:space="preserve"> </w:t>
      </w:r>
      <w:proofErr w:type="spellStart"/>
      <w:r>
        <w:rPr>
          <w:rFonts w:ascii="Times New Roman" w:hAnsi="Times New Roman" w:cs="Times New Roman"/>
          <w:sz w:val="28"/>
          <w:szCs w:val="28"/>
        </w:rPr>
        <w:t>проанализированы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пути</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погашения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внешней</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задолженности</w:t>
      </w:r>
      <w:proofErr w:type="spellEnd"/>
      <w:r w:rsidRPr="00F6410E">
        <w:rPr>
          <w:rFonts w:ascii="Times New Roman" w:hAnsi="Times New Roman" w:cs="Times New Roman"/>
          <w:sz w:val="28"/>
          <w:szCs w:val="28"/>
        </w:rPr>
        <w:t xml:space="preserve"> и </w:t>
      </w:r>
      <w:proofErr w:type="spellStart"/>
      <w:r>
        <w:rPr>
          <w:rFonts w:ascii="Times New Roman" w:hAnsi="Times New Roman" w:cs="Times New Roman"/>
          <w:sz w:val="28"/>
          <w:szCs w:val="28"/>
        </w:rPr>
        <w:t>расмотрены</w:t>
      </w:r>
      <w:proofErr w:type="spellEnd"/>
      <w:r>
        <w:rPr>
          <w:rFonts w:ascii="Times New Roman" w:hAnsi="Times New Roman" w:cs="Times New Roman"/>
          <w:sz w:val="28"/>
          <w:szCs w:val="28"/>
        </w:rPr>
        <w:t xml:space="preserve"> риски</w:t>
      </w:r>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дефолта</w:t>
      </w:r>
      <w:proofErr w:type="spellEnd"/>
      <w:r w:rsidRPr="00F6410E">
        <w:rPr>
          <w:rFonts w:ascii="Times New Roman" w:hAnsi="Times New Roman" w:cs="Times New Roman"/>
          <w:sz w:val="28"/>
          <w:szCs w:val="28"/>
        </w:rPr>
        <w:t xml:space="preserve"> на </w:t>
      </w:r>
      <w:proofErr w:type="spellStart"/>
      <w:r w:rsidRPr="00F6410E">
        <w:rPr>
          <w:rFonts w:ascii="Times New Roman" w:hAnsi="Times New Roman" w:cs="Times New Roman"/>
          <w:sz w:val="28"/>
          <w:szCs w:val="28"/>
        </w:rPr>
        <w:t>примере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развитых</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стран</w:t>
      </w:r>
      <w:proofErr w:type="spellEnd"/>
      <w:r w:rsidRPr="00F6410E">
        <w:rPr>
          <w:rFonts w:ascii="Times New Roman" w:hAnsi="Times New Roman" w:cs="Times New Roman"/>
          <w:sz w:val="28"/>
          <w:szCs w:val="28"/>
        </w:rPr>
        <w:t xml:space="preserve"> мира (</w:t>
      </w:r>
      <w:proofErr w:type="spellStart"/>
      <w:r w:rsidRPr="00F6410E">
        <w:rPr>
          <w:rFonts w:ascii="Times New Roman" w:hAnsi="Times New Roman" w:cs="Times New Roman"/>
          <w:sz w:val="28"/>
          <w:szCs w:val="28"/>
        </w:rPr>
        <w:t>Япония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Франция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Греция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Ирландия</w:t>
      </w:r>
      <w:proofErr w:type="spellEnd"/>
      <w:r w:rsidRPr="00F6410E">
        <w:rPr>
          <w:rFonts w:ascii="Times New Roman" w:hAnsi="Times New Roman" w:cs="Times New Roman"/>
          <w:sz w:val="28"/>
          <w:szCs w:val="28"/>
        </w:rPr>
        <w:t xml:space="preserve">), а </w:t>
      </w:r>
      <w:proofErr w:type="spellStart"/>
      <w:r w:rsidRPr="00F6410E">
        <w:rPr>
          <w:rFonts w:ascii="Times New Roman" w:hAnsi="Times New Roman" w:cs="Times New Roman"/>
          <w:sz w:val="28"/>
          <w:szCs w:val="28"/>
        </w:rPr>
        <w:t>также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развивающихся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стран</w:t>
      </w:r>
      <w:proofErr w:type="spellEnd"/>
      <w:r w:rsidRPr="00F6410E">
        <w:rPr>
          <w:rFonts w:ascii="Times New Roman" w:hAnsi="Times New Roman" w:cs="Times New Roman"/>
          <w:sz w:val="28"/>
          <w:szCs w:val="28"/>
        </w:rPr>
        <w:t xml:space="preserve"> - Мексика и Аргентина. </w:t>
      </w:r>
      <w:proofErr w:type="spellStart"/>
      <w:r w:rsidR="00814EA6">
        <w:rPr>
          <w:rFonts w:ascii="Times New Roman" w:hAnsi="Times New Roman" w:cs="Times New Roman"/>
          <w:sz w:val="28"/>
          <w:szCs w:val="28"/>
        </w:rPr>
        <w:lastRenderedPageBreak/>
        <w:t>Рассмотрены</w:t>
      </w:r>
      <w:proofErr w:type="spellEnd"/>
      <w:r w:rsidR="00814EA6">
        <w:rPr>
          <w:rFonts w:ascii="Times New Roman" w:hAnsi="Times New Roman" w:cs="Times New Roman"/>
          <w:sz w:val="28"/>
          <w:szCs w:val="28"/>
        </w:rPr>
        <w:t xml:space="preserve"> </w:t>
      </w:r>
      <w:proofErr w:type="spellStart"/>
      <w:r w:rsidR="00814EA6">
        <w:rPr>
          <w:rFonts w:ascii="Times New Roman" w:hAnsi="Times New Roman" w:cs="Times New Roman"/>
          <w:sz w:val="28"/>
          <w:szCs w:val="28"/>
        </w:rPr>
        <w:t>стратегии</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расчетов</w:t>
      </w:r>
      <w:proofErr w:type="spellEnd"/>
      <w:r w:rsidRPr="00F6410E">
        <w:rPr>
          <w:rFonts w:ascii="Times New Roman" w:hAnsi="Times New Roman" w:cs="Times New Roman"/>
          <w:sz w:val="28"/>
          <w:szCs w:val="28"/>
        </w:rPr>
        <w:t xml:space="preserve"> с </w:t>
      </w:r>
      <w:proofErr w:type="spellStart"/>
      <w:r w:rsidRPr="00F6410E">
        <w:rPr>
          <w:rFonts w:ascii="Times New Roman" w:hAnsi="Times New Roman" w:cs="Times New Roman"/>
          <w:sz w:val="28"/>
          <w:szCs w:val="28"/>
        </w:rPr>
        <w:t>внешними</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долгами</w:t>
      </w:r>
      <w:proofErr w:type="spellEnd"/>
      <w:r w:rsidRPr="00F6410E">
        <w:rPr>
          <w:rFonts w:ascii="Times New Roman" w:hAnsi="Times New Roman" w:cs="Times New Roman"/>
          <w:sz w:val="28"/>
          <w:szCs w:val="28"/>
        </w:rPr>
        <w:t xml:space="preserve"> и </w:t>
      </w:r>
      <w:proofErr w:type="spellStart"/>
      <w:r w:rsidRPr="00F6410E">
        <w:rPr>
          <w:rFonts w:ascii="Times New Roman" w:hAnsi="Times New Roman" w:cs="Times New Roman"/>
          <w:sz w:val="28"/>
          <w:szCs w:val="28"/>
        </w:rPr>
        <w:t>стандартные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рекомендации</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предоставляемых</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странам-должникам</w:t>
      </w:r>
      <w:proofErr w:type="spellEnd"/>
      <w:r w:rsidRPr="00F6410E">
        <w:rPr>
          <w:rFonts w:ascii="Times New Roman" w:hAnsi="Times New Roman" w:cs="Times New Roman"/>
          <w:sz w:val="28"/>
          <w:szCs w:val="28"/>
        </w:rPr>
        <w:t xml:space="preserve"> для </w:t>
      </w:r>
      <w:proofErr w:type="spellStart"/>
      <w:r w:rsidRPr="00F6410E">
        <w:rPr>
          <w:rFonts w:ascii="Times New Roman" w:hAnsi="Times New Roman" w:cs="Times New Roman"/>
          <w:sz w:val="28"/>
          <w:szCs w:val="28"/>
        </w:rPr>
        <w:t>уменьшения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внешнего</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долга</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Особое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внимание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уделено</w:t>
      </w:r>
      <w:proofErr w:type="spellEnd"/>
      <w:r w:rsidRPr="00F6410E">
        <w:rPr>
          <w:rFonts w:ascii="Times New Roman" w:hAnsi="Times New Roman" w:cs="Times New Roman"/>
          <w:sz w:val="28"/>
          <w:szCs w:val="28"/>
        </w:rPr>
        <w:t xml:space="preserve"> рискам </w:t>
      </w:r>
      <w:proofErr w:type="spellStart"/>
      <w:r w:rsidRPr="00F6410E">
        <w:rPr>
          <w:rFonts w:ascii="Times New Roman" w:hAnsi="Times New Roman" w:cs="Times New Roman"/>
          <w:sz w:val="28"/>
          <w:szCs w:val="28"/>
        </w:rPr>
        <w:t>наступления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технического</w:t>
      </w:r>
      <w:proofErr w:type="spellEnd"/>
      <w:r w:rsidRPr="00F6410E">
        <w:rPr>
          <w:rFonts w:ascii="Times New Roman" w:hAnsi="Times New Roman" w:cs="Times New Roman"/>
          <w:sz w:val="28"/>
          <w:szCs w:val="28"/>
        </w:rPr>
        <w:t>» и «</w:t>
      </w:r>
      <w:proofErr w:type="spellStart"/>
      <w:r w:rsidRPr="00F6410E">
        <w:rPr>
          <w:rFonts w:ascii="Times New Roman" w:hAnsi="Times New Roman" w:cs="Times New Roman"/>
          <w:sz w:val="28"/>
          <w:szCs w:val="28"/>
        </w:rPr>
        <w:t>полного</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дефолта</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их</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социально-экономических</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последствий</w:t>
      </w:r>
      <w:proofErr w:type="spellEnd"/>
      <w:r w:rsidRPr="00F6410E">
        <w:rPr>
          <w:rFonts w:ascii="Times New Roman" w:hAnsi="Times New Roman" w:cs="Times New Roman"/>
          <w:sz w:val="28"/>
          <w:szCs w:val="28"/>
        </w:rPr>
        <w:t xml:space="preserve"> для </w:t>
      </w:r>
      <w:proofErr w:type="spellStart"/>
      <w:r w:rsidRPr="00F6410E">
        <w:rPr>
          <w:rFonts w:ascii="Times New Roman" w:hAnsi="Times New Roman" w:cs="Times New Roman"/>
          <w:sz w:val="28"/>
          <w:szCs w:val="28"/>
        </w:rPr>
        <w:t>страны</w:t>
      </w:r>
      <w:proofErr w:type="spellEnd"/>
      <w:r w:rsidRPr="00F6410E">
        <w:rPr>
          <w:rFonts w:ascii="Times New Roman" w:hAnsi="Times New Roman" w:cs="Times New Roman"/>
          <w:sz w:val="28"/>
          <w:szCs w:val="28"/>
        </w:rPr>
        <w:t xml:space="preserve">. </w:t>
      </w:r>
      <w:proofErr w:type="spellStart"/>
      <w:r w:rsidR="00D524B1">
        <w:rPr>
          <w:rFonts w:ascii="Times New Roman" w:hAnsi="Times New Roman" w:cs="Times New Roman"/>
          <w:sz w:val="28"/>
          <w:szCs w:val="28"/>
        </w:rPr>
        <w:t>Проанализированы</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ожидаемые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социально-экономические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последствия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выхода</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страны</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из</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дефолтного</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состояния</w:t>
      </w:r>
      <w:proofErr w:type="spellEnd"/>
      <w:r w:rsidRPr="00F6410E">
        <w:rPr>
          <w:rFonts w:ascii="Times New Roman" w:hAnsi="Times New Roman" w:cs="Times New Roman"/>
          <w:sz w:val="28"/>
          <w:szCs w:val="28"/>
        </w:rPr>
        <w:t xml:space="preserve"> и </w:t>
      </w:r>
      <w:proofErr w:type="spellStart"/>
      <w:r w:rsidRPr="00F6410E">
        <w:rPr>
          <w:rFonts w:ascii="Times New Roman" w:hAnsi="Times New Roman" w:cs="Times New Roman"/>
          <w:sz w:val="28"/>
          <w:szCs w:val="28"/>
        </w:rPr>
        <w:t>погашения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внешней</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задолженности</w:t>
      </w:r>
      <w:proofErr w:type="spellEnd"/>
      <w:r w:rsidRPr="00F6410E">
        <w:rPr>
          <w:rFonts w:ascii="Times New Roman" w:hAnsi="Times New Roman" w:cs="Times New Roman"/>
          <w:sz w:val="28"/>
          <w:szCs w:val="28"/>
        </w:rPr>
        <w:t xml:space="preserve"> на </w:t>
      </w:r>
      <w:proofErr w:type="spellStart"/>
      <w:r w:rsidRPr="00F6410E">
        <w:rPr>
          <w:rFonts w:ascii="Times New Roman" w:hAnsi="Times New Roman" w:cs="Times New Roman"/>
          <w:sz w:val="28"/>
          <w:szCs w:val="28"/>
        </w:rPr>
        <w:t>основе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применения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рекомендаций</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политики</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затягивания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поясов</w:t>
      </w:r>
      <w:proofErr w:type="spellEnd"/>
      <w:r w:rsidRPr="00F6410E">
        <w:rPr>
          <w:rFonts w:ascii="Times New Roman" w:hAnsi="Times New Roman" w:cs="Times New Roman"/>
          <w:sz w:val="28"/>
          <w:szCs w:val="28"/>
        </w:rPr>
        <w:t xml:space="preserve">». </w:t>
      </w:r>
      <w:proofErr w:type="spellStart"/>
      <w:r w:rsidR="00707589" w:rsidRPr="00707589">
        <w:rPr>
          <w:rFonts w:ascii="Times New Roman" w:hAnsi="Times New Roman" w:cs="Times New Roman"/>
          <w:sz w:val="28"/>
          <w:szCs w:val="28"/>
        </w:rPr>
        <w:t>Определено</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приоритетность</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соблюдения</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страной</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национальных</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экономических</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интересов</w:t>
      </w:r>
      <w:proofErr w:type="spellEnd"/>
      <w:r w:rsidRPr="00707589">
        <w:rPr>
          <w:rFonts w:ascii="Times New Roman" w:hAnsi="Times New Roman" w:cs="Times New Roman"/>
          <w:sz w:val="28"/>
          <w:szCs w:val="28"/>
        </w:rPr>
        <w:t xml:space="preserve"> в </w:t>
      </w:r>
      <w:proofErr w:type="spellStart"/>
      <w:r w:rsidRPr="00707589">
        <w:rPr>
          <w:rFonts w:ascii="Times New Roman" w:hAnsi="Times New Roman" w:cs="Times New Roman"/>
          <w:sz w:val="28"/>
          <w:szCs w:val="28"/>
        </w:rPr>
        <w:t>процессе</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погашения</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внешней</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задолженности</w:t>
      </w:r>
      <w:proofErr w:type="spellEnd"/>
      <w:r w:rsidRPr="00707589">
        <w:rPr>
          <w:rFonts w:ascii="Times New Roman" w:hAnsi="Times New Roman" w:cs="Times New Roman"/>
          <w:sz w:val="28"/>
          <w:szCs w:val="28"/>
        </w:rPr>
        <w:t xml:space="preserve"> на </w:t>
      </w:r>
      <w:proofErr w:type="spellStart"/>
      <w:r w:rsidRPr="00707589">
        <w:rPr>
          <w:rFonts w:ascii="Times New Roman" w:hAnsi="Times New Roman" w:cs="Times New Roman"/>
          <w:sz w:val="28"/>
          <w:szCs w:val="28"/>
        </w:rPr>
        <w:t>основе</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увеличения</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экспорта</w:t>
      </w:r>
      <w:proofErr w:type="spellEnd"/>
      <w:r w:rsidRPr="00707589">
        <w:rPr>
          <w:rFonts w:ascii="Times New Roman" w:hAnsi="Times New Roman" w:cs="Times New Roman"/>
          <w:sz w:val="28"/>
          <w:szCs w:val="28"/>
        </w:rPr>
        <w:t xml:space="preserve"> и </w:t>
      </w:r>
      <w:proofErr w:type="spellStart"/>
      <w:r w:rsidRPr="00707589">
        <w:rPr>
          <w:rFonts w:ascii="Times New Roman" w:hAnsi="Times New Roman" w:cs="Times New Roman"/>
          <w:sz w:val="28"/>
          <w:szCs w:val="28"/>
        </w:rPr>
        <w:t>стимулирования</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национального</w:t>
      </w:r>
      <w:proofErr w:type="spellEnd"/>
      <w:r w:rsidRPr="00707589">
        <w:rPr>
          <w:rFonts w:ascii="Times New Roman" w:hAnsi="Times New Roman" w:cs="Times New Roman"/>
          <w:sz w:val="28"/>
          <w:szCs w:val="28"/>
        </w:rPr>
        <w:t xml:space="preserve"> </w:t>
      </w:r>
      <w:proofErr w:type="spellStart"/>
      <w:r w:rsidRPr="00707589">
        <w:rPr>
          <w:rFonts w:ascii="Times New Roman" w:hAnsi="Times New Roman" w:cs="Times New Roman"/>
          <w:sz w:val="28"/>
          <w:szCs w:val="28"/>
        </w:rPr>
        <w:t>производства</w:t>
      </w:r>
      <w:proofErr w:type="spellEnd"/>
      <w:r w:rsidRPr="00707589">
        <w:rPr>
          <w:rFonts w:ascii="Times New Roman" w:hAnsi="Times New Roman" w:cs="Times New Roman"/>
          <w:sz w:val="28"/>
          <w:szCs w:val="28"/>
        </w:rPr>
        <w:t>.</w:t>
      </w:r>
    </w:p>
    <w:p w:rsidR="007951C1" w:rsidRPr="00272808" w:rsidRDefault="00272808" w:rsidP="006327D8">
      <w:pPr>
        <w:jc w:val="both"/>
        <w:rPr>
          <w:rFonts w:ascii="Times New Roman" w:hAnsi="Times New Roman" w:cs="Times New Roman"/>
          <w:sz w:val="28"/>
          <w:szCs w:val="28"/>
        </w:rPr>
      </w:pPr>
      <w:proofErr w:type="spellStart"/>
      <w:r w:rsidRPr="00F6410E">
        <w:rPr>
          <w:rFonts w:ascii="Times New Roman" w:hAnsi="Times New Roman" w:cs="Times New Roman"/>
          <w:sz w:val="28"/>
          <w:szCs w:val="28"/>
        </w:rPr>
        <w:t>Ключевые</w:t>
      </w:r>
      <w:proofErr w:type="spellEnd"/>
      <w:r w:rsidRPr="00F6410E">
        <w:rPr>
          <w:rFonts w:ascii="Times New Roman" w:hAnsi="Times New Roman" w:cs="Times New Roman"/>
          <w:sz w:val="28"/>
          <w:szCs w:val="28"/>
        </w:rPr>
        <w:t xml:space="preserve"> слова. </w:t>
      </w:r>
      <w:proofErr w:type="spellStart"/>
      <w:r w:rsidRPr="00F6410E">
        <w:rPr>
          <w:rFonts w:ascii="Times New Roman" w:hAnsi="Times New Roman" w:cs="Times New Roman"/>
          <w:sz w:val="28"/>
          <w:szCs w:val="28"/>
        </w:rPr>
        <w:t>Внешняя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задолженность</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долговой</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кризис</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государственный</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долг</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реструктуризация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долга</w:t>
      </w:r>
      <w:proofErr w:type="spellEnd"/>
      <w:r w:rsidRPr="00F6410E">
        <w:rPr>
          <w:rFonts w:ascii="Times New Roman" w:hAnsi="Times New Roman" w:cs="Times New Roman"/>
          <w:sz w:val="28"/>
          <w:szCs w:val="28"/>
        </w:rPr>
        <w:t xml:space="preserve">; риски </w:t>
      </w:r>
      <w:proofErr w:type="spellStart"/>
      <w:r w:rsidRPr="00F6410E">
        <w:rPr>
          <w:rFonts w:ascii="Times New Roman" w:hAnsi="Times New Roman" w:cs="Times New Roman"/>
          <w:sz w:val="28"/>
          <w:szCs w:val="28"/>
        </w:rPr>
        <w:t>дефолта</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технический</w:t>
      </w:r>
      <w:proofErr w:type="spellEnd"/>
      <w:r w:rsidRPr="00F6410E">
        <w:rPr>
          <w:rFonts w:ascii="Times New Roman" w:hAnsi="Times New Roman" w:cs="Times New Roman"/>
          <w:sz w:val="28"/>
          <w:szCs w:val="28"/>
        </w:rPr>
        <w:t xml:space="preserve"> дефолт; </w:t>
      </w:r>
      <w:proofErr w:type="spellStart"/>
      <w:r w:rsidRPr="00F6410E">
        <w:rPr>
          <w:rFonts w:ascii="Times New Roman" w:hAnsi="Times New Roman" w:cs="Times New Roman"/>
          <w:sz w:val="28"/>
          <w:szCs w:val="28"/>
        </w:rPr>
        <w:t>полный</w:t>
      </w:r>
      <w:proofErr w:type="spellEnd"/>
      <w:r w:rsidRPr="00F6410E">
        <w:rPr>
          <w:rFonts w:ascii="Times New Roman" w:hAnsi="Times New Roman" w:cs="Times New Roman"/>
          <w:sz w:val="28"/>
          <w:szCs w:val="28"/>
        </w:rPr>
        <w:t xml:space="preserve"> дефолт; </w:t>
      </w:r>
      <w:proofErr w:type="spellStart"/>
      <w:r w:rsidRPr="00F6410E">
        <w:rPr>
          <w:rFonts w:ascii="Times New Roman" w:hAnsi="Times New Roman" w:cs="Times New Roman"/>
          <w:sz w:val="28"/>
          <w:szCs w:val="28"/>
        </w:rPr>
        <w:t>социально-экономические</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последствия</w:t>
      </w:r>
      <w:proofErr w:type="spellEnd"/>
      <w:r w:rsidRPr="00F6410E">
        <w:rPr>
          <w:rFonts w:ascii="Times New Roman" w:hAnsi="Times New Roman" w:cs="Times New Roman"/>
          <w:sz w:val="28"/>
          <w:szCs w:val="28"/>
        </w:rPr>
        <w:t xml:space="preserve"> </w:t>
      </w:r>
      <w:proofErr w:type="spellStart"/>
      <w:r w:rsidRPr="00F6410E">
        <w:rPr>
          <w:rFonts w:ascii="Times New Roman" w:hAnsi="Times New Roman" w:cs="Times New Roman"/>
          <w:sz w:val="28"/>
          <w:szCs w:val="28"/>
        </w:rPr>
        <w:t>дефолта</w:t>
      </w:r>
      <w:proofErr w:type="spellEnd"/>
      <w:r w:rsidRPr="00F6410E">
        <w:rPr>
          <w:rFonts w:ascii="Times New Roman" w:hAnsi="Times New Roman" w:cs="Times New Roman"/>
          <w:sz w:val="28"/>
          <w:szCs w:val="28"/>
        </w:rPr>
        <w:t>.</w:t>
      </w:r>
    </w:p>
    <w:p w:rsidR="007951C1" w:rsidRPr="00F555AC" w:rsidRDefault="007951C1" w:rsidP="006327D8">
      <w:pPr>
        <w:jc w:val="right"/>
        <w:rPr>
          <w:rFonts w:ascii="Times New Roman" w:hAnsi="Times New Roman" w:cs="Times New Roman"/>
          <w:b/>
          <w:sz w:val="28"/>
          <w:szCs w:val="28"/>
        </w:rPr>
      </w:pPr>
      <w:proofErr w:type="spellStart"/>
      <w:r w:rsidRPr="00F555AC">
        <w:rPr>
          <w:rFonts w:ascii="Times New Roman" w:hAnsi="Times New Roman" w:cs="Times New Roman"/>
          <w:b/>
          <w:sz w:val="28"/>
          <w:szCs w:val="28"/>
          <w:lang w:val="en-US"/>
        </w:rPr>
        <w:t>Bila</w:t>
      </w:r>
      <w:proofErr w:type="spellEnd"/>
      <w:r w:rsidRPr="00F555AC">
        <w:rPr>
          <w:rFonts w:ascii="Times New Roman" w:hAnsi="Times New Roman" w:cs="Times New Roman"/>
          <w:b/>
          <w:sz w:val="28"/>
          <w:szCs w:val="28"/>
        </w:rPr>
        <w:t xml:space="preserve"> </w:t>
      </w:r>
      <w:proofErr w:type="spellStart"/>
      <w:r w:rsidRPr="00F555AC">
        <w:rPr>
          <w:rFonts w:ascii="Times New Roman" w:hAnsi="Times New Roman" w:cs="Times New Roman"/>
          <w:b/>
          <w:sz w:val="28"/>
          <w:szCs w:val="28"/>
          <w:lang w:val="en-US"/>
        </w:rPr>
        <w:t>Svitlana</w:t>
      </w:r>
      <w:proofErr w:type="spellEnd"/>
      <w:r w:rsidRPr="00F555AC">
        <w:rPr>
          <w:rFonts w:ascii="Times New Roman" w:hAnsi="Times New Roman" w:cs="Times New Roman"/>
          <w:b/>
          <w:sz w:val="28"/>
          <w:szCs w:val="28"/>
        </w:rPr>
        <w:t xml:space="preserve"> </w:t>
      </w:r>
      <w:proofErr w:type="spellStart"/>
      <w:r w:rsidRPr="00F555AC">
        <w:rPr>
          <w:rFonts w:ascii="Times New Roman" w:hAnsi="Times New Roman" w:cs="Times New Roman"/>
          <w:b/>
          <w:sz w:val="28"/>
          <w:szCs w:val="28"/>
          <w:lang w:val="en-US"/>
        </w:rPr>
        <w:t>Oleksiivna</w:t>
      </w:r>
      <w:proofErr w:type="spellEnd"/>
    </w:p>
    <w:p w:rsidR="007951C1" w:rsidRPr="00F555AC" w:rsidRDefault="007951C1" w:rsidP="006327D8">
      <w:pPr>
        <w:jc w:val="right"/>
        <w:rPr>
          <w:rFonts w:ascii="Times New Roman" w:hAnsi="Times New Roman" w:cs="Times New Roman"/>
          <w:sz w:val="28"/>
          <w:szCs w:val="28"/>
          <w:lang w:val="en-US"/>
        </w:rPr>
      </w:pPr>
      <w:r w:rsidRPr="00F555AC">
        <w:rPr>
          <w:rFonts w:ascii="Times New Roman" w:hAnsi="Times New Roman" w:cs="Times New Roman"/>
          <w:sz w:val="28"/>
          <w:szCs w:val="28"/>
          <w:lang w:val="en-US"/>
        </w:rPr>
        <w:t xml:space="preserve">Professor, </w:t>
      </w:r>
      <w:r w:rsidRPr="00F555AC">
        <w:rPr>
          <w:rStyle w:val="hps"/>
          <w:rFonts w:ascii="Times New Roman" w:hAnsi="Times New Roman"/>
          <w:sz w:val="28"/>
          <w:szCs w:val="28"/>
          <w:lang w:val="en-US"/>
        </w:rPr>
        <w:t>Doctor</w:t>
      </w:r>
      <w:r w:rsidRPr="00F555AC">
        <w:rPr>
          <w:rFonts w:ascii="Times New Roman" w:hAnsi="Times New Roman" w:cs="Times New Roman"/>
          <w:sz w:val="28"/>
          <w:szCs w:val="28"/>
          <w:lang w:val="en-US"/>
        </w:rPr>
        <w:t xml:space="preserve"> </w:t>
      </w:r>
      <w:r w:rsidRPr="00F555AC">
        <w:rPr>
          <w:rStyle w:val="hps"/>
          <w:rFonts w:ascii="Times New Roman" w:hAnsi="Times New Roman"/>
          <w:sz w:val="28"/>
          <w:szCs w:val="28"/>
          <w:lang w:val="en-US"/>
        </w:rPr>
        <w:t>of Public Administration</w:t>
      </w:r>
      <w:r w:rsidRPr="00F555AC">
        <w:rPr>
          <w:rFonts w:ascii="Times New Roman" w:hAnsi="Times New Roman" w:cs="Times New Roman"/>
          <w:sz w:val="28"/>
          <w:szCs w:val="28"/>
          <w:lang w:val="en-US"/>
        </w:rPr>
        <w:t xml:space="preserve">, Honored Economist </w:t>
      </w:r>
      <w:proofErr w:type="gramStart"/>
      <w:r w:rsidRPr="00F555AC">
        <w:rPr>
          <w:rFonts w:ascii="Times New Roman" w:hAnsi="Times New Roman" w:cs="Times New Roman"/>
          <w:sz w:val="28"/>
          <w:szCs w:val="28"/>
          <w:lang w:val="en-US"/>
        </w:rPr>
        <w:t>of  Ukraine</w:t>
      </w:r>
      <w:proofErr w:type="gramEnd"/>
    </w:p>
    <w:p w:rsidR="007951C1" w:rsidRPr="00F555AC" w:rsidRDefault="007951C1" w:rsidP="006327D8">
      <w:pPr>
        <w:jc w:val="right"/>
        <w:rPr>
          <w:rFonts w:ascii="Times New Roman" w:hAnsi="Times New Roman" w:cs="Times New Roman"/>
          <w:sz w:val="28"/>
          <w:szCs w:val="28"/>
          <w:lang w:val="en-US"/>
        </w:rPr>
      </w:pPr>
      <w:r w:rsidRPr="00F555AC">
        <w:rPr>
          <w:rFonts w:ascii="Times New Roman" w:hAnsi="Times New Roman" w:cs="Times New Roman"/>
          <w:sz w:val="28"/>
          <w:szCs w:val="28"/>
          <w:lang w:val="en-US"/>
        </w:rPr>
        <w:t>Professor of international economic affairs and business Department,</w:t>
      </w:r>
    </w:p>
    <w:p w:rsidR="007951C1" w:rsidRPr="00F555AC" w:rsidRDefault="007951C1" w:rsidP="006327D8">
      <w:pPr>
        <w:jc w:val="right"/>
        <w:rPr>
          <w:rFonts w:ascii="Times New Roman" w:hAnsi="Times New Roman" w:cs="Times New Roman"/>
          <w:sz w:val="28"/>
          <w:szCs w:val="28"/>
          <w:lang w:val="en-US"/>
        </w:rPr>
      </w:pPr>
      <w:r w:rsidRPr="00F555AC">
        <w:rPr>
          <w:rFonts w:ascii="Times New Roman" w:hAnsi="Times New Roman" w:cs="Times New Roman"/>
          <w:sz w:val="28"/>
          <w:szCs w:val="28"/>
          <w:lang w:val="en-US"/>
        </w:rPr>
        <w:t>Educational and Scientific Institute of International Affairs (ESIIA)</w:t>
      </w:r>
    </w:p>
    <w:p w:rsidR="007951C1" w:rsidRPr="00391820" w:rsidRDefault="007951C1" w:rsidP="006327D8">
      <w:pPr>
        <w:widowControl w:val="0"/>
        <w:jc w:val="right"/>
        <w:rPr>
          <w:rFonts w:ascii="Times New Roman" w:hAnsi="Times New Roman" w:cs="Times New Roman"/>
          <w:sz w:val="28"/>
          <w:szCs w:val="28"/>
          <w:lang w:val="fr-FR"/>
        </w:rPr>
      </w:pPr>
      <w:r w:rsidRPr="00391820">
        <w:rPr>
          <w:rFonts w:ascii="Times New Roman" w:hAnsi="Times New Roman" w:cs="Times New Roman"/>
          <w:sz w:val="28"/>
          <w:szCs w:val="28"/>
          <w:lang w:val="fr-FR"/>
        </w:rPr>
        <w:t>National Aviation University (NAU), Kyiv, Ukraine,</w:t>
      </w:r>
    </w:p>
    <w:p w:rsidR="006B3109" w:rsidRPr="00391820" w:rsidRDefault="007951C1" w:rsidP="006327D8">
      <w:pPr>
        <w:jc w:val="right"/>
        <w:rPr>
          <w:rFonts w:ascii="Times New Roman" w:hAnsi="Times New Roman" w:cs="Times New Roman"/>
          <w:sz w:val="28"/>
          <w:szCs w:val="28"/>
          <w:lang w:val="fr-FR"/>
        </w:rPr>
      </w:pPr>
      <w:r w:rsidRPr="00391820">
        <w:rPr>
          <w:rFonts w:ascii="Times New Roman" w:hAnsi="Times New Roman" w:cs="Times New Roman"/>
          <w:sz w:val="28"/>
          <w:szCs w:val="28"/>
          <w:lang w:val="fr-FR"/>
        </w:rPr>
        <w:t>ESIIA NAU</w:t>
      </w:r>
    </w:p>
    <w:p w:rsidR="007951C1" w:rsidRPr="00391820" w:rsidRDefault="00172436" w:rsidP="006327D8">
      <w:pPr>
        <w:jc w:val="right"/>
        <w:rPr>
          <w:rFonts w:ascii="Times New Roman" w:hAnsi="Times New Roman" w:cs="Times New Roman"/>
          <w:b/>
          <w:sz w:val="28"/>
          <w:szCs w:val="28"/>
          <w:lang w:val="fr-FR"/>
        </w:rPr>
      </w:pPr>
      <w:r w:rsidRPr="00391820">
        <w:rPr>
          <w:rFonts w:ascii="Times New Roman" w:hAnsi="Times New Roman" w:cs="Times New Roman"/>
          <w:b/>
          <w:sz w:val="28"/>
          <w:szCs w:val="28"/>
          <w:lang w:val="fr-FR"/>
        </w:rPr>
        <w:t>Levchenko Oleksandra Tarasivna</w:t>
      </w:r>
    </w:p>
    <w:p w:rsidR="00272808" w:rsidRPr="00272808" w:rsidRDefault="00272808" w:rsidP="006327D8">
      <w:pPr>
        <w:jc w:val="right"/>
        <w:rPr>
          <w:rFonts w:ascii="Times New Roman" w:hAnsi="Times New Roman" w:cs="Times New Roman"/>
          <w:sz w:val="28"/>
          <w:szCs w:val="28"/>
          <w:lang w:val="en-US"/>
        </w:rPr>
      </w:pPr>
      <w:r w:rsidRPr="00272808">
        <w:rPr>
          <w:rFonts w:ascii="Times New Roman" w:hAnsi="Times New Roman" w:cs="Times New Roman"/>
          <w:sz w:val="28"/>
          <w:szCs w:val="28"/>
          <w:lang w:val="en-US"/>
        </w:rPr>
        <w:t>Magistracy student</w:t>
      </w:r>
    </w:p>
    <w:p w:rsidR="00172436" w:rsidRDefault="00272808" w:rsidP="006327D8">
      <w:pPr>
        <w:jc w:val="right"/>
        <w:rPr>
          <w:rFonts w:ascii="Times New Roman" w:hAnsi="Times New Roman" w:cs="Times New Roman"/>
          <w:sz w:val="28"/>
          <w:szCs w:val="28"/>
          <w:lang w:val="en-US"/>
        </w:rPr>
      </w:pPr>
      <w:r w:rsidRPr="00272808">
        <w:rPr>
          <w:rFonts w:ascii="Times New Roman" w:hAnsi="Times New Roman" w:cs="Times New Roman"/>
          <w:sz w:val="28"/>
          <w:szCs w:val="28"/>
          <w:lang w:val="en-US"/>
        </w:rPr>
        <w:t>Department of International Economic Relations and Business</w:t>
      </w:r>
    </w:p>
    <w:p w:rsidR="00272808" w:rsidRPr="00272808" w:rsidRDefault="00272808" w:rsidP="006327D8">
      <w:pPr>
        <w:jc w:val="right"/>
        <w:rPr>
          <w:rFonts w:ascii="Times New Roman" w:hAnsi="Times New Roman" w:cs="Times New Roman"/>
          <w:sz w:val="28"/>
          <w:szCs w:val="28"/>
          <w:lang w:val="en-US"/>
        </w:rPr>
      </w:pPr>
      <w:r w:rsidRPr="00F555AC">
        <w:rPr>
          <w:rFonts w:ascii="Times New Roman" w:hAnsi="Times New Roman" w:cs="Times New Roman"/>
          <w:sz w:val="28"/>
          <w:szCs w:val="28"/>
          <w:lang w:val="en-US"/>
        </w:rPr>
        <w:t>ESIIA NAU</w:t>
      </w:r>
    </w:p>
    <w:p w:rsidR="003015A7" w:rsidRPr="00172436" w:rsidRDefault="003015A7" w:rsidP="006327D8">
      <w:pPr>
        <w:jc w:val="center"/>
        <w:rPr>
          <w:rFonts w:ascii="Times New Roman" w:hAnsi="Times New Roman" w:cs="Times New Roman"/>
          <w:sz w:val="28"/>
          <w:szCs w:val="28"/>
        </w:rPr>
      </w:pPr>
      <w:r w:rsidRPr="00172436">
        <w:rPr>
          <w:rFonts w:ascii="Times New Roman" w:hAnsi="Times New Roman" w:cs="Times New Roman"/>
          <w:b/>
          <w:sz w:val="28"/>
          <w:szCs w:val="28"/>
          <w:lang w:val="en-US"/>
        </w:rPr>
        <w:t>WAYS FOR APPEAL OF EXTERNAL PROTECTION AND RISK OF DEFOLT: GLOBAL EXPERIENCE</w:t>
      </w:r>
    </w:p>
    <w:p w:rsidR="00172436" w:rsidRPr="00172436" w:rsidRDefault="00172436" w:rsidP="006327D8">
      <w:pPr>
        <w:ind w:firstLine="284"/>
        <w:jc w:val="both"/>
        <w:rPr>
          <w:rFonts w:ascii="Times New Roman" w:hAnsi="Times New Roman" w:cs="Times New Roman"/>
          <w:sz w:val="28"/>
          <w:szCs w:val="28"/>
          <w:lang w:val="en-US"/>
        </w:rPr>
      </w:pPr>
      <w:r w:rsidRPr="00172436">
        <w:rPr>
          <w:rFonts w:ascii="Times New Roman" w:hAnsi="Times New Roman" w:cs="Times New Roman"/>
          <w:sz w:val="28"/>
          <w:szCs w:val="28"/>
          <w:lang w:val="en-US"/>
        </w:rPr>
        <w:t>The article analyzes ways of repaying external debt and minimizing the risks of default by the example of the developed countries of the world (Japan, France, Greece, Ireland), as well as developing countries - Mexico and Argentina. Strategic priorities of settlements with external debts and standard monetary recommendations, provided to debtor countries to reduce external debt, have been determined. Particular attention is paid to the risks of "technical" and "full" default, their social and economic consequences for the country. The expected socio-economic consequences of the country's exit from the default state and repayment of external debt are considered on the basis of the application of the policy of "tightening the belts". It is reasonable to prioritize the country's compliance with national economic interests in the process of repaying foreign debts on the basis of increasing exports and stimulating national production.</w:t>
      </w:r>
    </w:p>
    <w:p w:rsidR="007951C1" w:rsidRPr="00172436" w:rsidRDefault="00172436" w:rsidP="006327D8">
      <w:pPr>
        <w:ind w:firstLine="284"/>
        <w:jc w:val="both"/>
        <w:rPr>
          <w:rFonts w:ascii="Times New Roman" w:hAnsi="Times New Roman" w:cs="Times New Roman"/>
          <w:b/>
          <w:sz w:val="28"/>
          <w:szCs w:val="28"/>
          <w:lang w:val="en-US"/>
        </w:rPr>
      </w:pPr>
      <w:r w:rsidRPr="00172436">
        <w:rPr>
          <w:rFonts w:ascii="Times New Roman" w:hAnsi="Times New Roman" w:cs="Times New Roman"/>
          <w:sz w:val="28"/>
          <w:szCs w:val="28"/>
          <w:lang w:val="en-US"/>
        </w:rPr>
        <w:t>Keywords. External debt; debt crisis, public debt; debt restructuring; risks of default; technical default; full default; social and economic consequences of default.</w:t>
      </w:r>
    </w:p>
    <w:p w:rsidR="00561FC1" w:rsidRDefault="00014319" w:rsidP="0051141C">
      <w:pPr>
        <w:spacing w:line="360" w:lineRule="auto"/>
        <w:ind w:firstLine="284"/>
        <w:jc w:val="both"/>
        <w:rPr>
          <w:rFonts w:ascii="Times New Roman" w:hAnsi="Times New Roman" w:cs="Times New Roman"/>
          <w:noProof/>
          <w:color w:val="000000" w:themeColor="text1"/>
          <w:sz w:val="28"/>
          <w:szCs w:val="28"/>
        </w:rPr>
      </w:pPr>
      <w:r w:rsidRPr="000D2653">
        <w:rPr>
          <w:rFonts w:ascii="Times New Roman" w:hAnsi="Times New Roman" w:cs="Times New Roman"/>
          <w:b/>
          <w:sz w:val="28"/>
          <w:szCs w:val="28"/>
        </w:rPr>
        <w:t>Постановка проблеми.</w:t>
      </w:r>
      <w:r w:rsidRPr="000D2653">
        <w:rPr>
          <w:rFonts w:ascii="Times New Roman" w:hAnsi="Times New Roman" w:cs="Times New Roman"/>
          <w:sz w:val="28"/>
          <w:szCs w:val="28"/>
        </w:rPr>
        <w:t xml:space="preserve"> </w:t>
      </w:r>
      <w:r w:rsidR="000D2653" w:rsidRPr="000D2653">
        <w:rPr>
          <w:rFonts w:ascii="Times New Roman" w:hAnsi="Times New Roman" w:cs="Times New Roman"/>
          <w:noProof/>
          <w:color w:val="000000" w:themeColor="text1"/>
          <w:sz w:val="28"/>
          <w:szCs w:val="28"/>
        </w:rPr>
        <w:t xml:space="preserve">Невідповідність між коштами, які заробляє та витрачає країна, </w:t>
      </w:r>
      <w:r w:rsidR="00630396">
        <w:rPr>
          <w:rFonts w:ascii="Times New Roman" w:hAnsi="Times New Roman" w:cs="Times New Roman"/>
          <w:noProof/>
          <w:color w:val="000000" w:themeColor="text1"/>
          <w:sz w:val="28"/>
          <w:szCs w:val="28"/>
        </w:rPr>
        <w:t xml:space="preserve">проявляється через </w:t>
      </w:r>
      <w:r w:rsidR="000D2653" w:rsidRPr="000D2653">
        <w:rPr>
          <w:rFonts w:ascii="Times New Roman" w:hAnsi="Times New Roman" w:cs="Times New Roman"/>
          <w:noProof/>
          <w:color w:val="000000" w:themeColor="text1"/>
          <w:sz w:val="28"/>
          <w:szCs w:val="28"/>
        </w:rPr>
        <w:t>хронічн</w:t>
      </w:r>
      <w:r w:rsidR="00630396">
        <w:rPr>
          <w:rFonts w:ascii="Times New Roman" w:hAnsi="Times New Roman" w:cs="Times New Roman"/>
          <w:noProof/>
          <w:color w:val="000000" w:themeColor="text1"/>
          <w:sz w:val="28"/>
          <w:szCs w:val="28"/>
        </w:rPr>
        <w:t xml:space="preserve">ий дефіцит державного бюджету. У свою чергу, це ускладнює виконання державою </w:t>
      </w:r>
      <w:r w:rsidR="000D2653" w:rsidRPr="000D2653">
        <w:rPr>
          <w:rFonts w:ascii="Times New Roman" w:hAnsi="Times New Roman" w:cs="Times New Roman"/>
          <w:noProof/>
          <w:color w:val="000000" w:themeColor="text1"/>
          <w:sz w:val="28"/>
          <w:szCs w:val="28"/>
        </w:rPr>
        <w:t xml:space="preserve">соціальних зобов’язань, </w:t>
      </w:r>
      <w:r w:rsidR="00630396">
        <w:rPr>
          <w:rFonts w:ascii="Times New Roman" w:hAnsi="Times New Roman" w:cs="Times New Roman"/>
          <w:noProof/>
          <w:color w:val="000000" w:themeColor="text1"/>
          <w:sz w:val="28"/>
          <w:szCs w:val="28"/>
        </w:rPr>
        <w:t xml:space="preserve">що часто супроводжується інфляцією, </w:t>
      </w:r>
      <w:r w:rsidR="000D2653" w:rsidRPr="000D2653">
        <w:rPr>
          <w:rFonts w:ascii="Times New Roman" w:hAnsi="Times New Roman" w:cs="Times New Roman"/>
          <w:noProof/>
          <w:color w:val="000000" w:themeColor="text1"/>
          <w:sz w:val="28"/>
          <w:szCs w:val="28"/>
        </w:rPr>
        <w:t>дефіцит</w:t>
      </w:r>
      <w:r w:rsidR="00630396">
        <w:rPr>
          <w:rFonts w:ascii="Times New Roman" w:hAnsi="Times New Roman" w:cs="Times New Roman"/>
          <w:noProof/>
          <w:color w:val="000000" w:themeColor="text1"/>
          <w:sz w:val="28"/>
          <w:szCs w:val="28"/>
        </w:rPr>
        <w:t xml:space="preserve">ом </w:t>
      </w:r>
      <w:r w:rsidR="000D2653" w:rsidRPr="000D2653">
        <w:rPr>
          <w:rFonts w:ascii="Times New Roman" w:hAnsi="Times New Roman" w:cs="Times New Roman"/>
          <w:noProof/>
          <w:color w:val="000000" w:themeColor="text1"/>
          <w:sz w:val="28"/>
          <w:szCs w:val="28"/>
        </w:rPr>
        <w:t>коштів</w:t>
      </w:r>
      <w:r w:rsidR="00630396">
        <w:rPr>
          <w:rFonts w:ascii="Times New Roman" w:hAnsi="Times New Roman" w:cs="Times New Roman"/>
          <w:noProof/>
          <w:color w:val="000000" w:themeColor="text1"/>
          <w:sz w:val="28"/>
          <w:szCs w:val="28"/>
        </w:rPr>
        <w:t xml:space="preserve">, що йдуть </w:t>
      </w:r>
      <w:r w:rsidR="000D2653" w:rsidRPr="000D2653">
        <w:rPr>
          <w:rFonts w:ascii="Times New Roman" w:hAnsi="Times New Roman" w:cs="Times New Roman"/>
          <w:noProof/>
          <w:color w:val="000000" w:themeColor="text1"/>
          <w:sz w:val="28"/>
          <w:szCs w:val="28"/>
        </w:rPr>
        <w:t xml:space="preserve">на потреби </w:t>
      </w:r>
      <w:r w:rsidR="00630396" w:rsidRPr="000D2653">
        <w:rPr>
          <w:rFonts w:ascii="Times New Roman" w:hAnsi="Times New Roman" w:cs="Times New Roman"/>
          <w:noProof/>
          <w:color w:val="000000" w:themeColor="text1"/>
          <w:sz w:val="28"/>
          <w:szCs w:val="28"/>
        </w:rPr>
        <w:lastRenderedPageBreak/>
        <w:t xml:space="preserve">державотворення </w:t>
      </w:r>
      <w:r w:rsidR="00630396">
        <w:rPr>
          <w:rFonts w:ascii="Times New Roman" w:hAnsi="Times New Roman" w:cs="Times New Roman"/>
          <w:noProof/>
          <w:color w:val="000000" w:themeColor="text1"/>
          <w:sz w:val="28"/>
          <w:szCs w:val="28"/>
        </w:rPr>
        <w:t xml:space="preserve">та </w:t>
      </w:r>
      <w:r w:rsidR="000D2653" w:rsidRPr="000D2653">
        <w:rPr>
          <w:rFonts w:ascii="Times New Roman" w:hAnsi="Times New Roman" w:cs="Times New Roman"/>
          <w:noProof/>
          <w:color w:val="000000" w:themeColor="text1"/>
          <w:sz w:val="28"/>
          <w:szCs w:val="28"/>
        </w:rPr>
        <w:t xml:space="preserve">життєзабезпечення </w:t>
      </w:r>
      <w:r w:rsidR="00630396">
        <w:rPr>
          <w:rFonts w:ascii="Times New Roman" w:hAnsi="Times New Roman" w:cs="Times New Roman"/>
          <w:noProof/>
          <w:color w:val="000000" w:themeColor="text1"/>
          <w:sz w:val="28"/>
          <w:szCs w:val="28"/>
        </w:rPr>
        <w:t xml:space="preserve">вразливих верств населення (субсидії, соціальні виплати, підвищення пенсій та стипендій тощо). Як вихід із такого становища – держава нарощує </w:t>
      </w:r>
      <w:r w:rsidR="000D2653" w:rsidRPr="000D2653">
        <w:rPr>
          <w:rFonts w:ascii="Times New Roman" w:hAnsi="Times New Roman" w:cs="Times New Roman"/>
          <w:noProof/>
          <w:color w:val="000000" w:themeColor="text1"/>
          <w:sz w:val="28"/>
          <w:szCs w:val="28"/>
        </w:rPr>
        <w:t>зовнішн</w:t>
      </w:r>
      <w:r w:rsidR="00630396">
        <w:rPr>
          <w:rFonts w:ascii="Times New Roman" w:hAnsi="Times New Roman" w:cs="Times New Roman"/>
          <w:noProof/>
          <w:color w:val="000000" w:themeColor="text1"/>
          <w:sz w:val="28"/>
          <w:szCs w:val="28"/>
        </w:rPr>
        <w:t>ю</w:t>
      </w:r>
      <w:r w:rsidR="000D2653" w:rsidRPr="000D2653">
        <w:rPr>
          <w:rFonts w:ascii="Times New Roman" w:hAnsi="Times New Roman" w:cs="Times New Roman"/>
          <w:noProof/>
          <w:color w:val="000000" w:themeColor="text1"/>
          <w:sz w:val="28"/>
          <w:szCs w:val="28"/>
        </w:rPr>
        <w:t xml:space="preserve"> заборговані</w:t>
      </w:r>
      <w:r w:rsidR="00630396">
        <w:rPr>
          <w:rFonts w:ascii="Times New Roman" w:hAnsi="Times New Roman" w:cs="Times New Roman"/>
          <w:noProof/>
          <w:color w:val="000000" w:themeColor="text1"/>
          <w:sz w:val="28"/>
          <w:szCs w:val="28"/>
        </w:rPr>
        <w:t xml:space="preserve">сть. </w:t>
      </w:r>
      <w:r w:rsidR="000D2653" w:rsidRPr="000D2653">
        <w:rPr>
          <w:rFonts w:ascii="Times New Roman" w:hAnsi="Times New Roman" w:cs="Times New Roman"/>
          <w:noProof/>
          <w:color w:val="000000" w:themeColor="text1"/>
          <w:sz w:val="28"/>
          <w:szCs w:val="28"/>
        </w:rPr>
        <w:t xml:space="preserve">Проблема державного боргу та пов’язаних з </w:t>
      </w:r>
      <w:r w:rsidR="00630396">
        <w:rPr>
          <w:rFonts w:ascii="Times New Roman" w:hAnsi="Times New Roman" w:cs="Times New Roman"/>
          <w:noProof/>
          <w:color w:val="000000" w:themeColor="text1"/>
          <w:sz w:val="28"/>
          <w:szCs w:val="28"/>
        </w:rPr>
        <w:t xml:space="preserve">цим </w:t>
      </w:r>
      <w:r w:rsidR="000D2653" w:rsidRPr="000D2653">
        <w:rPr>
          <w:rFonts w:ascii="Times New Roman" w:hAnsi="Times New Roman" w:cs="Times New Roman"/>
          <w:noProof/>
          <w:color w:val="000000" w:themeColor="text1"/>
          <w:sz w:val="28"/>
          <w:szCs w:val="28"/>
        </w:rPr>
        <w:t>наслідків для країни-боржника</w:t>
      </w:r>
      <w:r w:rsidR="00630396">
        <w:rPr>
          <w:rFonts w:ascii="Times New Roman" w:hAnsi="Times New Roman" w:cs="Times New Roman"/>
          <w:noProof/>
          <w:color w:val="000000" w:themeColor="text1"/>
          <w:sz w:val="28"/>
          <w:szCs w:val="28"/>
        </w:rPr>
        <w:t xml:space="preserve"> (йдеться про дефолт),</w:t>
      </w:r>
      <w:r w:rsidR="000D2653" w:rsidRPr="000D2653">
        <w:rPr>
          <w:rFonts w:ascii="Times New Roman" w:hAnsi="Times New Roman" w:cs="Times New Roman"/>
          <w:noProof/>
          <w:color w:val="000000" w:themeColor="text1"/>
          <w:sz w:val="28"/>
          <w:szCs w:val="28"/>
        </w:rPr>
        <w:t xml:space="preserve"> у ХХІ ст. стає актуальною як для розвинутих  країн світу, так і для країн, що розвиваються. </w:t>
      </w:r>
      <w:r w:rsidR="00630396">
        <w:rPr>
          <w:rFonts w:ascii="Times New Roman" w:hAnsi="Times New Roman" w:cs="Times New Roman"/>
          <w:noProof/>
          <w:color w:val="000000" w:themeColor="text1"/>
          <w:sz w:val="28"/>
          <w:szCs w:val="28"/>
        </w:rPr>
        <w:t xml:space="preserve">Зокрема, все частіше йдеться про те, що наступною світовою кризою стане саме боргова криза. </w:t>
      </w:r>
      <w:r w:rsidR="000D2653" w:rsidRPr="000D2653">
        <w:rPr>
          <w:rFonts w:ascii="Times New Roman" w:hAnsi="Times New Roman" w:cs="Times New Roman"/>
          <w:noProof/>
          <w:color w:val="000000" w:themeColor="text1"/>
          <w:sz w:val="28"/>
          <w:szCs w:val="28"/>
        </w:rPr>
        <w:t xml:space="preserve">Для більшості країн світу, що активно співпрацюють з міжнародними кредиторами, у т.ч. з МВФ, розв’язання проблеми зовнішньої заборгованості </w:t>
      </w:r>
      <w:r w:rsidR="00630396">
        <w:rPr>
          <w:rFonts w:ascii="Times New Roman" w:hAnsi="Times New Roman" w:cs="Times New Roman"/>
          <w:noProof/>
          <w:color w:val="000000" w:themeColor="text1"/>
          <w:sz w:val="28"/>
          <w:szCs w:val="28"/>
        </w:rPr>
        <w:t xml:space="preserve">часто </w:t>
      </w:r>
      <w:r w:rsidR="000D2653" w:rsidRPr="000D2653">
        <w:rPr>
          <w:rFonts w:ascii="Times New Roman" w:hAnsi="Times New Roman" w:cs="Times New Roman"/>
          <w:noProof/>
          <w:color w:val="000000" w:themeColor="text1"/>
          <w:sz w:val="28"/>
          <w:szCs w:val="28"/>
        </w:rPr>
        <w:t>пов’язано із політикою «затягування пасків», із скороченням витрат державного бюджету на соціальні цілі</w:t>
      </w:r>
      <w:r w:rsidR="00630396">
        <w:rPr>
          <w:rFonts w:ascii="Times New Roman" w:hAnsi="Times New Roman" w:cs="Times New Roman"/>
          <w:noProof/>
          <w:color w:val="000000" w:themeColor="text1"/>
          <w:sz w:val="28"/>
          <w:szCs w:val="28"/>
        </w:rPr>
        <w:t xml:space="preserve"> – від «заморожування» заробітних плат бюджетників до відмови від традиційних соціальних виплат, пільг, скорочення обсягів фінансування науки, освіти, закладів охорони здоров'я</w:t>
      </w:r>
      <w:r w:rsidR="000D2653" w:rsidRPr="000D2653">
        <w:rPr>
          <w:rFonts w:ascii="Times New Roman" w:hAnsi="Times New Roman" w:cs="Times New Roman"/>
          <w:noProof/>
          <w:color w:val="000000" w:themeColor="text1"/>
          <w:sz w:val="28"/>
          <w:szCs w:val="28"/>
        </w:rPr>
        <w:t>. Така практика, як правило, викликає соціальн</w:t>
      </w:r>
      <w:r w:rsidR="00630396">
        <w:rPr>
          <w:rFonts w:ascii="Times New Roman" w:hAnsi="Times New Roman" w:cs="Times New Roman"/>
          <w:noProof/>
          <w:color w:val="000000" w:themeColor="text1"/>
          <w:sz w:val="28"/>
          <w:szCs w:val="28"/>
        </w:rPr>
        <w:t>е</w:t>
      </w:r>
      <w:r w:rsidR="000D2653" w:rsidRPr="000D2653">
        <w:rPr>
          <w:rFonts w:ascii="Times New Roman" w:hAnsi="Times New Roman" w:cs="Times New Roman"/>
          <w:noProof/>
          <w:color w:val="000000" w:themeColor="text1"/>
          <w:sz w:val="28"/>
          <w:szCs w:val="28"/>
        </w:rPr>
        <w:t xml:space="preserve"> напружен</w:t>
      </w:r>
      <w:r w:rsidR="00630396">
        <w:rPr>
          <w:rFonts w:ascii="Times New Roman" w:hAnsi="Times New Roman" w:cs="Times New Roman"/>
          <w:noProof/>
          <w:color w:val="000000" w:themeColor="text1"/>
          <w:sz w:val="28"/>
          <w:szCs w:val="28"/>
        </w:rPr>
        <w:t>ня у</w:t>
      </w:r>
      <w:r w:rsidR="000D2653" w:rsidRPr="000D2653">
        <w:rPr>
          <w:rFonts w:ascii="Times New Roman" w:hAnsi="Times New Roman" w:cs="Times New Roman"/>
          <w:noProof/>
          <w:color w:val="000000" w:themeColor="text1"/>
          <w:sz w:val="28"/>
          <w:szCs w:val="28"/>
        </w:rPr>
        <w:t xml:space="preserve"> суспільстві</w:t>
      </w:r>
      <w:r w:rsidR="00630396">
        <w:rPr>
          <w:rFonts w:ascii="Times New Roman" w:hAnsi="Times New Roman" w:cs="Times New Roman"/>
          <w:noProof/>
          <w:color w:val="000000" w:themeColor="text1"/>
          <w:sz w:val="28"/>
          <w:szCs w:val="28"/>
        </w:rPr>
        <w:t>, що може призвести і до соціальних потрясінь</w:t>
      </w:r>
      <w:r w:rsidR="000D2653" w:rsidRPr="000D2653">
        <w:rPr>
          <w:rFonts w:ascii="Times New Roman" w:hAnsi="Times New Roman" w:cs="Times New Roman"/>
          <w:noProof/>
          <w:color w:val="000000" w:themeColor="text1"/>
          <w:sz w:val="28"/>
          <w:szCs w:val="28"/>
        </w:rPr>
        <w:t xml:space="preserve">. Поряд з цим, розвинуті країни світу знаходять механізми та важелі, </w:t>
      </w:r>
      <w:r w:rsidR="00561FC1">
        <w:rPr>
          <w:rFonts w:ascii="Times New Roman" w:hAnsi="Times New Roman" w:cs="Times New Roman"/>
          <w:noProof/>
          <w:color w:val="000000" w:themeColor="text1"/>
          <w:sz w:val="28"/>
          <w:szCs w:val="28"/>
        </w:rPr>
        <w:t>які</w:t>
      </w:r>
      <w:r w:rsidR="000D2653" w:rsidRPr="000D2653">
        <w:rPr>
          <w:rFonts w:ascii="Times New Roman" w:hAnsi="Times New Roman" w:cs="Times New Roman"/>
          <w:noProof/>
          <w:color w:val="000000" w:themeColor="text1"/>
          <w:sz w:val="28"/>
          <w:szCs w:val="28"/>
        </w:rPr>
        <w:t xml:space="preserve"> стимулюють економічне зростання </w:t>
      </w:r>
      <w:r w:rsidR="00561FC1">
        <w:rPr>
          <w:rFonts w:ascii="Times New Roman" w:hAnsi="Times New Roman" w:cs="Times New Roman"/>
          <w:noProof/>
          <w:color w:val="000000" w:themeColor="text1"/>
          <w:sz w:val="28"/>
          <w:szCs w:val="28"/>
        </w:rPr>
        <w:t xml:space="preserve">в країні </w:t>
      </w:r>
      <w:r w:rsidR="000D2653" w:rsidRPr="000D2653">
        <w:rPr>
          <w:rFonts w:ascii="Times New Roman" w:hAnsi="Times New Roman" w:cs="Times New Roman"/>
          <w:noProof/>
          <w:color w:val="000000" w:themeColor="text1"/>
          <w:sz w:val="28"/>
          <w:szCs w:val="28"/>
        </w:rPr>
        <w:t xml:space="preserve">навіть за високих показників зовнішнього боргу. </w:t>
      </w:r>
      <w:r w:rsidR="00561FC1">
        <w:rPr>
          <w:rFonts w:ascii="Times New Roman" w:hAnsi="Times New Roman" w:cs="Times New Roman"/>
          <w:noProof/>
          <w:color w:val="000000" w:themeColor="text1"/>
          <w:sz w:val="28"/>
          <w:szCs w:val="28"/>
        </w:rPr>
        <w:t>Це дозволяє їм не тільки знизити ризики настання дефолту, але й відкривають можливості перетворити зовнішій борг у фактор, що позитивно впливає на економічне зростання. Така постановка проблеми свідчить про актуальність тематики дослідження світового досвіду щодо пошуку ефективних шляхів погашення зовнішньої заборгованості та мінімізації ризиків дефолту для системи міжнародних економічних відносин та світового господарства.</w:t>
      </w:r>
    </w:p>
    <w:p w:rsidR="00654F41" w:rsidRDefault="00014319" w:rsidP="00654F41">
      <w:pPr>
        <w:spacing w:line="360" w:lineRule="auto"/>
        <w:ind w:firstLine="284"/>
        <w:jc w:val="both"/>
        <w:rPr>
          <w:rFonts w:ascii="Times New Roman" w:hAnsi="Times New Roman" w:cs="Times New Roman"/>
          <w:sz w:val="28"/>
          <w:szCs w:val="28"/>
        </w:rPr>
      </w:pPr>
      <w:r w:rsidRPr="00115C82">
        <w:rPr>
          <w:rFonts w:ascii="Times New Roman" w:hAnsi="Times New Roman" w:cs="Times New Roman"/>
          <w:b/>
          <w:color w:val="000000"/>
          <w:sz w:val="28"/>
          <w:szCs w:val="28"/>
        </w:rPr>
        <w:t>Аналіз останніх досліджень</w:t>
      </w:r>
      <w:r w:rsidRPr="00115C82">
        <w:rPr>
          <w:rFonts w:ascii="Times New Roman" w:hAnsi="Times New Roman" w:cs="Times New Roman"/>
          <w:sz w:val="28"/>
          <w:szCs w:val="28"/>
        </w:rPr>
        <w:t xml:space="preserve">. </w:t>
      </w:r>
      <w:r w:rsidR="008B21CB">
        <w:rPr>
          <w:rFonts w:ascii="Times New Roman" w:hAnsi="Times New Roman" w:cs="Times New Roman"/>
          <w:sz w:val="28"/>
          <w:szCs w:val="28"/>
        </w:rPr>
        <w:t>Проблематика д</w:t>
      </w:r>
      <w:r w:rsidRPr="00115C82">
        <w:rPr>
          <w:rFonts w:ascii="Times New Roman" w:hAnsi="Times New Roman" w:cs="Times New Roman"/>
          <w:color w:val="000000"/>
          <w:sz w:val="28"/>
          <w:szCs w:val="28"/>
        </w:rPr>
        <w:t>осліджен</w:t>
      </w:r>
      <w:r w:rsidR="008B21CB">
        <w:rPr>
          <w:rFonts w:ascii="Times New Roman" w:hAnsi="Times New Roman" w:cs="Times New Roman"/>
          <w:color w:val="000000"/>
          <w:sz w:val="28"/>
          <w:szCs w:val="28"/>
        </w:rPr>
        <w:t>ь</w:t>
      </w:r>
      <w:r w:rsidRPr="00115C82">
        <w:rPr>
          <w:rFonts w:ascii="Times New Roman" w:hAnsi="Times New Roman" w:cs="Times New Roman"/>
          <w:color w:val="000000"/>
          <w:sz w:val="28"/>
          <w:szCs w:val="28"/>
        </w:rPr>
        <w:t xml:space="preserve"> різноманітних аспектів </w:t>
      </w:r>
      <w:r w:rsidR="008B21CB">
        <w:rPr>
          <w:rFonts w:ascii="Times New Roman" w:hAnsi="Times New Roman" w:cs="Times New Roman"/>
          <w:color w:val="000000"/>
          <w:sz w:val="28"/>
          <w:szCs w:val="28"/>
        </w:rPr>
        <w:t xml:space="preserve">та </w:t>
      </w:r>
      <w:r w:rsidRPr="00115C82">
        <w:rPr>
          <w:rFonts w:ascii="Times New Roman" w:hAnsi="Times New Roman" w:cs="Times New Roman"/>
          <w:color w:val="000000"/>
          <w:sz w:val="28"/>
          <w:szCs w:val="28"/>
        </w:rPr>
        <w:t>прояв</w:t>
      </w:r>
      <w:r w:rsidR="008B21CB">
        <w:rPr>
          <w:rFonts w:ascii="Times New Roman" w:hAnsi="Times New Roman" w:cs="Times New Roman"/>
          <w:color w:val="000000"/>
          <w:sz w:val="28"/>
          <w:szCs w:val="28"/>
        </w:rPr>
        <w:t>ів зовнішньої заборгованості традиційно перебували у центрі наукових досліджень українських вчених. Так, о</w:t>
      </w:r>
      <w:r w:rsidR="008B21CB" w:rsidRPr="000D2653">
        <w:rPr>
          <w:rFonts w:ascii="Times New Roman" w:hAnsi="Times New Roman" w:cs="Times New Roman"/>
          <w:sz w:val="28"/>
          <w:szCs w:val="28"/>
        </w:rPr>
        <w:t>собливості формування державного боргу та управління його складовими у період фінансової кризи</w:t>
      </w:r>
      <w:r w:rsidR="008B21CB">
        <w:rPr>
          <w:rFonts w:ascii="Times New Roman" w:hAnsi="Times New Roman" w:cs="Times New Roman"/>
          <w:sz w:val="28"/>
          <w:szCs w:val="28"/>
        </w:rPr>
        <w:t xml:space="preserve"> проаналізував Т.</w:t>
      </w:r>
      <w:proofErr w:type="spellStart"/>
      <w:r w:rsidR="008B21CB">
        <w:rPr>
          <w:rFonts w:ascii="Times New Roman" w:hAnsi="Times New Roman" w:cs="Times New Roman"/>
          <w:sz w:val="28"/>
          <w:szCs w:val="28"/>
        </w:rPr>
        <w:t>Вахненко</w:t>
      </w:r>
      <w:proofErr w:type="spellEnd"/>
      <w:r w:rsidR="008B21CB">
        <w:rPr>
          <w:rFonts w:ascii="Times New Roman" w:hAnsi="Times New Roman" w:cs="Times New Roman"/>
          <w:sz w:val="28"/>
          <w:szCs w:val="28"/>
        </w:rPr>
        <w:t xml:space="preserve"> [1]. </w:t>
      </w:r>
      <w:r w:rsidR="008B21CB" w:rsidRPr="008B21CB">
        <w:rPr>
          <w:rFonts w:ascii="Times New Roman" w:hAnsi="Times New Roman" w:cs="Times New Roman"/>
          <w:sz w:val="28"/>
          <w:szCs w:val="28"/>
        </w:rPr>
        <w:t>Системні наслідки впливу державного боргу на розвиток національної економіки досліджували Т.</w:t>
      </w:r>
      <w:proofErr w:type="spellStart"/>
      <w:r w:rsidR="008B21CB">
        <w:rPr>
          <w:rFonts w:ascii="Times New Roman" w:hAnsi="Times New Roman" w:cs="Times New Roman"/>
          <w:sz w:val="28"/>
          <w:szCs w:val="28"/>
        </w:rPr>
        <w:t>Семко</w:t>
      </w:r>
      <w:proofErr w:type="spellEnd"/>
      <w:r w:rsidR="008B21CB">
        <w:rPr>
          <w:rFonts w:ascii="Times New Roman" w:hAnsi="Times New Roman" w:cs="Times New Roman"/>
          <w:sz w:val="28"/>
          <w:szCs w:val="28"/>
        </w:rPr>
        <w:t xml:space="preserve"> та М. Покутня [2].</w:t>
      </w:r>
      <w:r w:rsidR="008B21CB">
        <w:rPr>
          <w:rFonts w:ascii="Times New Roman" w:hAnsi="Times New Roman" w:cs="Times New Roman"/>
          <w:sz w:val="28"/>
          <w:szCs w:val="28"/>
          <w:lang w:val="ru-RU"/>
        </w:rPr>
        <w:t xml:space="preserve"> </w:t>
      </w:r>
      <w:r w:rsidR="008B21CB" w:rsidRPr="008B21CB">
        <w:rPr>
          <w:rFonts w:ascii="Times New Roman" w:hAnsi="Times New Roman" w:cs="Times New Roman"/>
          <w:sz w:val="28"/>
          <w:szCs w:val="28"/>
        </w:rPr>
        <w:t xml:space="preserve"> </w:t>
      </w:r>
      <w:r w:rsidR="007539B7" w:rsidRPr="007539B7">
        <w:rPr>
          <w:rFonts w:ascii="Times New Roman" w:hAnsi="Times New Roman" w:cs="Times New Roman"/>
          <w:sz w:val="28"/>
          <w:szCs w:val="28"/>
        </w:rPr>
        <w:t xml:space="preserve">Усвідомлення необхідності управління державним боргом </w:t>
      </w:r>
      <w:r w:rsidR="007539B7">
        <w:rPr>
          <w:rFonts w:ascii="Times New Roman" w:hAnsi="Times New Roman" w:cs="Times New Roman"/>
          <w:sz w:val="28"/>
          <w:szCs w:val="28"/>
        </w:rPr>
        <w:t xml:space="preserve">та дослідження світового досвіду щодо перспектив його мінімізації та погашення </w:t>
      </w:r>
      <w:r w:rsidR="007539B7" w:rsidRPr="007539B7">
        <w:rPr>
          <w:rFonts w:ascii="Times New Roman" w:hAnsi="Times New Roman" w:cs="Times New Roman"/>
          <w:sz w:val="28"/>
          <w:szCs w:val="28"/>
        </w:rPr>
        <w:t xml:space="preserve">обумовило </w:t>
      </w:r>
      <w:r w:rsidR="007539B7" w:rsidRPr="007539B7">
        <w:rPr>
          <w:rFonts w:ascii="Times New Roman" w:hAnsi="Times New Roman" w:cs="Times New Roman"/>
          <w:sz w:val="28"/>
          <w:szCs w:val="28"/>
        </w:rPr>
        <w:lastRenderedPageBreak/>
        <w:t xml:space="preserve">висвітлення </w:t>
      </w:r>
      <w:r w:rsidR="007539B7">
        <w:rPr>
          <w:rFonts w:ascii="Times New Roman" w:hAnsi="Times New Roman" w:cs="Times New Roman"/>
          <w:sz w:val="28"/>
          <w:szCs w:val="28"/>
        </w:rPr>
        <w:t xml:space="preserve">означеного </w:t>
      </w:r>
      <w:r w:rsidR="007539B7" w:rsidRPr="007539B7">
        <w:rPr>
          <w:rFonts w:ascii="Times New Roman" w:hAnsi="Times New Roman" w:cs="Times New Roman"/>
          <w:sz w:val="28"/>
          <w:szCs w:val="28"/>
        </w:rPr>
        <w:t>питання у працях С.</w:t>
      </w:r>
      <w:proofErr w:type="spellStart"/>
      <w:r w:rsidR="007539B7">
        <w:rPr>
          <w:rFonts w:ascii="Times New Roman" w:hAnsi="Times New Roman" w:cs="Times New Roman"/>
          <w:sz w:val="28"/>
          <w:szCs w:val="28"/>
        </w:rPr>
        <w:t>Боринець</w:t>
      </w:r>
      <w:proofErr w:type="spellEnd"/>
      <w:r w:rsidR="007539B7">
        <w:rPr>
          <w:rFonts w:ascii="Times New Roman" w:hAnsi="Times New Roman" w:cs="Times New Roman"/>
          <w:sz w:val="28"/>
          <w:szCs w:val="28"/>
        </w:rPr>
        <w:t xml:space="preserve"> та Л.</w:t>
      </w:r>
      <w:proofErr w:type="spellStart"/>
      <w:r w:rsidR="007539B7">
        <w:rPr>
          <w:rFonts w:ascii="Times New Roman" w:hAnsi="Times New Roman" w:cs="Times New Roman"/>
          <w:sz w:val="28"/>
          <w:szCs w:val="28"/>
        </w:rPr>
        <w:t>Могилко</w:t>
      </w:r>
      <w:proofErr w:type="spellEnd"/>
      <w:r w:rsidR="007539B7" w:rsidRPr="007539B7">
        <w:rPr>
          <w:rFonts w:ascii="Times New Roman" w:hAnsi="Times New Roman" w:cs="Times New Roman"/>
          <w:sz w:val="28"/>
          <w:szCs w:val="28"/>
        </w:rPr>
        <w:t xml:space="preserve"> </w:t>
      </w:r>
      <w:r w:rsidR="007539B7">
        <w:rPr>
          <w:rFonts w:ascii="Times New Roman" w:hAnsi="Times New Roman" w:cs="Times New Roman"/>
          <w:sz w:val="28"/>
          <w:szCs w:val="28"/>
        </w:rPr>
        <w:t xml:space="preserve">[3], </w:t>
      </w:r>
      <w:r w:rsidR="007539B7" w:rsidRPr="007539B7">
        <w:rPr>
          <w:rFonts w:ascii="Times New Roman" w:hAnsi="Times New Roman" w:cs="Times New Roman"/>
          <w:sz w:val="28"/>
          <w:szCs w:val="28"/>
        </w:rPr>
        <w:t>Е.</w:t>
      </w:r>
      <w:proofErr w:type="spellStart"/>
      <w:r w:rsidR="007539B7" w:rsidRPr="007539B7">
        <w:rPr>
          <w:rFonts w:ascii="Times New Roman" w:hAnsi="Times New Roman" w:cs="Times New Roman"/>
          <w:sz w:val="28"/>
          <w:szCs w:val="28"/>
        </w:rPr>
        <w:t>Ґерда</w:t>
      </w:r>
      <w:proofErr w:type="spellEnd"/>
      <w:r w:rsidR="007539B7" w:rsidRPr="007539B7">
        <w:rPr>
          <w:rFonts w:ascii="Times New Roman" w:hAnsi="Times New Roman" w:cs="Times New Roman"/>
          <w:sz w:val="28"/>
          <w:szCs w:val="28"/>
        </w:rPr>
        <w:t xml:space="preserve"> </w:t>
      </w:r>
      <w:r w:rsidR="007539B7">
        <w:rPr>
          <w:rFonts w:ascii="Times New Roman" w:hAnsi="Times New Roman" w:cs="Times New Roman"/>
          <w:sz w:val="28"/>
          <w:szCs w:val="28"/>
        </w:rPr>
        <w:t>[4]</w:t>
      </w:r>
      <w:r w:rsidR="007539B7" w:rsidRPr="007539B7">
        <w:rPr>
          <w:rFonts w:ascii="Times New Roman" w:hAnsi="Times New Roman" w:cs="Times New Roman"/>
          <w:sz w:val="28"/>
          <w:szCs w:val="28"/>
        </w:rPr>
        <w:t xml:space="preserve">, </w:t>
      </w:r>
      <w:r w:rsidR="007539B7" w:rsidRPr="000D2653">
        <w:rPr>
          <w:rFonts w:ascii="Times New Roman" w:hAnsi="Times New Roman" w:cs="Times New Roman"/>
          <w:sz w:val="28"/>
          <w:szCs w:val="28"/>
        </w:rPr>
        <w:t>Н.</w:t>
      </w:r>
      <w:proofErr w:type="spellStart"/>
      <w:r w:rsidR="007539B7" w:rsidRPr="000D2653">
        <w:rPr>
          <w:rFonts w:ascii="Times New Roman" w:hAnsi="Times New Roman" w:cs="Times New Roman"/>
          <w:sz w:val="28"/>
          <w:szCs w:val="28"/>
        </w:rPr>
        <w:t>Волошанюк</w:t>
      </w:r>
      <w:proofErr w:type="spellEnd"/>
      <w:r w:rsidR="007539B7">
        <w:rPr>
          <w:rFonts w:ascii="Times New Roman" w:hAnsi="Times New Roman" w:cs="Times New Roman"/>
          <w:sz w:val="28"/>
          <w:szCs w:val="28"/>
        </w:rPr>
        <w:t xml:space="preserve"> та</w:t>
      </w:r>
      <w:r w:rsidR="007539B7" w:rsidRPr="000D2653">
        <w:rPr>
          <w:rFonts w:ascii="Times New Roman" w:hAnsi="Times New Roman" w:cs="Times New Roman"/>
          <w:sz w:val="28"/>
          <w:szCs w:val="28"/>
        </w:rPr>
        <w:t xml:space="preserve"> О.</w:t>
      </w:r>
      <w:proofErr w:type="spellStart"/>
      <w:r w:rsidR="007539B7" w:rsidRPr="000D2653">
        <w:rPr>
          <w:rFonts w:ascii="Times New Roman" w:hAnsi="Times New Roman" w:cs="Times New Roman"/>
          <w:sz w:val="28"/>
          <w:szCs w:val="28"/>
        </w:rPr>
        <w:t>Мавдрик</w:t>
      </w:r>
      <w:proofErr w:type="spellEnd"/>
      <w:r w:rsidR="007539B7" w:rsidRPr="007539B7">
        <w:rPr>
          <w:rFonts w:ascii="Times New Roman" w:hAnsi="Times New Roman" w:cs="Times New Roman"/>
          <w:sz w:val="28"/>
          <w:szCs w:val="28"/>
        </w:rPr>
        <w:t xml:space="preserve"> </w:t>
      </w:r>
      <w:r w:rsidR="007539B7">
        <w:rPr>
          <w:rFonts w:ascii="Times New Roman" w:hAnsi="Times New Roman" w:cs="Times New Roman"/>
          <w:sz w:val="28"/>
          <w:szCs w:val="28"/>
        </w:rPr>
        <w:t xml:space="preserve">[5], О.Рудої </w:t>
      </w:r>
      <w:r w:rsidR="007539B7" w:rsidRPr="007539B7">
        <w:rPr>
          <w:rFonts w:ascii="Times New Roman" w:hAnsi="Times New Roman" w:cs="Times New Roman"/>
          <w:sz w:val="28"/>
          <w:szCs w:val="28"/>
        </w:rPr>
        <w:t xml:space="preserve"> </w:t>
      </w:r>
      <w:r w:rsidR="007539B7">
        <w:rPr>
          <w:rFonts w:ascii="Times New Roman" w:hAnsi="Times New Roman" w:cs="Times New Roman"/>
          <w:sz w:val="28"/>
          <w:szCs w:val="28"/>
        </w:rPr>
        <w:t xml:space="preserve">[6] та інших українських вчених. Натомість, загострення проблеми зовнішньої заборгованості та розрахунку по зовнішнім боргам (у тому числі для таких країн як Греція, Португалія), актуалізують проблему дефолту та дослідження ризиків, що його супроводжують. </w:t>
      </w:r>
      <w:r w:rsidR="00654F41">
        <w:rPr>
          <w:rFonts w:ascii="Times New Roman" w:hAnsi="Times New Roman" w:cs="Times New Roman"/>
          <w:sz w:val="28"/>
          <w:szCs w:val="28"/>
        </w:rPr>
        <w:t>Перелік питань, пов'язаних із «ціною» дефолту, попередженням настання дефолту та визначенням рекомендацій подолання боргової кризи представлені у наукових працях Б.</w:t>
      </w:r>
      <w:proofErr w:type="spellStart"/>
      <w:r w:rsidR="00654F41">
        <w:rPr>
          <w:rFonts w:ascii="Times New Roman" w:hAnsi="Times New Roman" w:cs="Times New Roman"/>
          <w:sz w:val="28"/>
          <w:szCs w:val="28"/>
        </w:rPr>
        <w:t>Паолі</w:t>
      </w:r>
      <w:proofErr w:type="spellEnd"/>
      <w:r w:rsidR="00654F41">
        <w:rPr>
          <w:rFonts w:ascii="Times New Roman" w:hAnsi="Times New Roman" w:cs="Times New Roman"/>
          <w:sz w:val="28"/>
          <w:szCs w:val="28"/>
        </w:rPr>
        <w:t xml:space="preserve">, Х. </w:t>
      </w:r>
      <w:proofErr w:type="spellStart"/>
      <w:r w:rsidR="00654F41">
        <w:rPr>
          <w:rFonts w:ascii="Times New Roman" w:hAnsi="Times New Roman" w:cs="Times New Roman"/>
          <w:sz w:val="28"/>
          <w:szCs w:val="28"/>
        </w:rPr>
        <w:t>Хоггарт</w:t>
      </w:r>
      <w:proofErr w:type="spellEnd"/>
      <w:r w:rsidR="00654F41">
        <w:rPr>
          <w:rFonts w:ascii="Times New Roman" w:hAnsi="Times New Roman" w:cs="Times New Roman"/>
          <w:sz w:val="28"/>
          <w:szCs w:val="28"/>
        </w:rPr>
        <w:t>, В.</w:t>
      </w:r>
      <w:proofErr w:type="spellStart"/>
      <w:r w:rsidR="00654F41">
        <w:rPr>
          <w:rFonts w:ascii="Times New Roman" w:hAnsi="Times New Roman" w:cs="Times New Roman"/>
          <w:sz w:val="28"/>
          <w:szCs w:val="28"/>
        </w:rPr>
        <w:t>Сапорти</w:t>
      </w:r>
      <w:proofErr w:type="spellEnd"/>
      <w:r w:rsidR="00654F41">
        <w:rPr>
          <w:rFonts w:ascii="Times New Roman" w:hAnsi="Times New Roman" w:cs="Times New Roman"/>
          <w:sz w:val="28"/>
          <w:szCs w:val="28"/>
        </w:rPr>
        <w:t xml:space="preserve"> [7], М.</w:t>
      </w:r>
      <w:proofErr w:type="spellStart"/>
      <w:r w:rsidR="00654F41">
        <w:rPr>
          <w:rFonts w:ascii="Times New Roman" w:hAnsi="Times New Roman" w:cs="Times New Roman"/>
          <w:sz w:val="28"/>
          <w:szCs w:val="28"/>
        </w:rPr>
        <w:t>Врайта</w:t>
      </w:r>
      <w:proofErr w:type="spellEnd"/>
      <w:r w:rsidR="00654F41">
        <w:rPr>
          <w:rFonts w:ascii="Times New Roman" w:hAnsi="Times New Roman" w:cs="Times New Roman"/>
          <w:sz w:val="28"/>
          <w:szCs w:val="28"/>
        </w:rPr>
        <w:t xml:space="preserve"> [8], П.</w:t>
      </w:r>
      <w:proofErr w:type="spellStart"/>
      <w:r w:rsidR="00654F41">
        <w:rPr>
          <w:rFonts w:ascii="Times New Roman" w:hAnsi="Times New Roman" w:cs="Times New Roman"/>
          <w:sz w:val="28"/>
          <w:szCs w:val="28"/>
        </w:rPr>
        <w:t>Лінд</w:t>
      </w:r>
      <w:r w:rsidR="006B7015">
        <w:rPr>
          <w:rFonts w:ascii="Times New Roman" w:hAnsi="Times New Roman" w:cs="Times New Roman"/>
          <w:sz w:val="28"/>
          <w:szCs w:val="28"/>
        </w:rPr>
        <w:t>ерта</w:t>
      </w:r>
      <w:proofErr w:type="spellEnd"/>
      <w:r w:rsidR="00654F41">
        <w:rPr>
          <w:rFonts w:ascii="Times New Roman" w:hAnsi="Times New Roman" w:cs="Times New Roman"/>
          <w:sz w:val="28"/>
          <w:szCs w:val="28"/>
        </w:rPr>
        <w:t xml:space="preserve">. Водночас, проблематика погашення зовнішньої заборгованості та попередження настання дефолту і у наш час залишається актуальною, оскільки це питання має </w:t>
      </w:r>
      <w:proofErr w:type="spellStart"/>
      <w:r w:rsidR="00654F41">
        <w:rPr>
          <w:rFonts w:ascii="Times New Roman" w:hAnsi="Times New Roman" w:cs="Times New Roman"/>
          <w:sz w:val="28"/>
          <w:szCs w:val="28"/>
        </w:rPr>
        <w:t>синертегичний</w:t>
      </w:r>
      <w:proofErr w:type="spellEnd"/>
      <w:r w:rsidR="00654F41">
        <w:rPr>
          <w:rFonts w:ascii="Times New Roman" w:hAnsi="Times New Roman" w:cs="Times New Roman"/>
          <w:sz w:val="28"/>
          <w:szCs w:val="28"/>
        </w:rPr>
        <w:t xml:space="preserve"> вплив на національне та світове господарство. Поряд з цим, </w:t>
      </w:r>
      <w:r w:rsidR="00E46827">
        <w:rPr>
          <w:rFonts w:ascii="Times New Roman" w:hAnsi="Times New Roman" w:cs="Times New Roman"/>
          <w:sz w:val="28"/>
          <w:szCs w:val="28"/>
        </w:rPr>
        <w:t xml:space="preserve">у ХХІ ст. </w:t>
      </w:r>
      <w:r w:rsidR="00654F41">
        <w:rPr>
          <w:rFonts w:ascii="Times New Roman" w:hAnsi="Times New Roman" w:cs="Times New Roman"/>
          <w:sz w:val="28"/>
          <w:szCs w:val="28"/>
        </w:rPr>
        <w:t xml:space="preserve">постійно змінюється соціально-економічна </w:t>
      </w:r>
      <w:r w:rsidR="00E46827">
        <w:rPr>
          <w:rFonts w:ascii="Times New Roman" w:hAnsi="Times New Roman" w:cs="Times New Roman"/>
          <w:sz w:val="28"/>
          <w:szCs w:val="28"/>
        </w:rPr>
        <w:t xml:space="preserve">та політична </w:t>
      </w:r>
      <w:r w:rsidR="00654F41">
        <w:rPr>
          <w:rFonts w:ascii="Times New Roman" w:hAnsi="Times New Roman" w:cs="Times New Roman"/>
          <w:sz w:val="28"/>
          <w:szCs w:val="28"/>
        </w:rPr>
        <w:t>ситуація</w:t>
      </w:r>
      <w:r w:rsidR="00E46827">
        <w:rPr>
          <w:rFonts w:ascii="Times New Roman" w:hAnsi="Times New Roman" w:cs="Times New Roman"/>
          <w:sz w:val="28"/>
          <w:szCs w:val="28"/>
        </w:rPr>
        <w:t xml:space="preserve">, що модифікує шляхи вирішення питання зовнішньої заборгованості та недопущення дефолту. Це обумовлює актуальність даної статті. </w:t>
      </w:r>
      <w:r w:rsidR="00654F41">
        <w:rPr>
          <w:rFonts w:ascii="Times New Roman" w:hAnsi="Times New Roman" w:cs="Times New Roman"/>
          <w:sz w:val="28"/>
          <w:szCs w:val="28"/>
        </w:rPr>
        <w:t xml:space="preserve"> </w:t>
      </w:r>
    </w:p>
    <w:p w:rsidR="00E46827" w:rsidRDefault="00654F41" w:rsidP="005254DB">
      <w:pPr>
        <w:spacing w:line="360" w:lineRule="auto"/>
        <w:ind w:firstLine="284"/>
        <w:jc w:val="both"/>
        <w:rPr>
          <w:rFonts w:ascii="Times New Roman" w:hAnsi="Times New Roman" w:cs="Times New Roman"/>
          <w:sz w:val="28"/>
          <w:szCs w:val="28"/>
        </w:rPr>
      </w:pPr>
      <w:r w:rsidRPr="00654F41">
        <w:rPr>
          <w:rFonts w:ascii="Times New Roman" w:hAnsi="Times New Roman" w:cs="Times New Roman"/>
          <w:b/>
          <w:sz w:val="28"/>
          <w:szCs w:val="28"/>
        </w:rPr>
        <w:t xml:space="preserve">Формулювання цілей статті. </w:t>
      </w:r>
      <w:r w:rsidR="00E46827">
        <w:rPr>
          <w:rFonts w:ascii="Times New Roman" w:hAnsi="Times New Roman" w:cs="Times New Roman"/>
          <w:sz w:val="28"/>
          <w:szCs w:val="28"/>
        </w:rPr>
        <w:t xml:space="preserve">Мета </w:t>
      </w:r>
      <w:r w:rsidRPr="00E46827">
        <w:rPr>
          <w:rFonts w:ascii="Times New Roman" w:hAnsi="Times New Roman" w:cs="Times New Roman"/>
          <w:sz w:val="28"/>
          <w:szCs w:val="28"/>
        </w:rPr>
        <w:t xml:space="preserve">статті </w:t>
      </w:r>
      <w:r w:rsidR="00E46827">
        <w:rPr>
          <w:rFonts w:ascii="Times New Roman" w:hAnsi="Times New Roman" w:cs="Times New Roman"/>
          <w:sz w:val="28"/>
          <w:szCs w:val="28"/>
        </w:rPr>
        <w:t>– дослідити світову практику визначення шляхів погашення зовнішньої заборгованості та мінімізації ризиків настання дефолту.</w:t>
      </w:r>
    </w:p>
    <w:p w:rsidR="00E46827" w:rsidRDefault="00E46827" w:rsidP="005254DB">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Для досягнення мети у статті розглядаються наступні завдання:</w:t>
      </w:r>
    </w:p>
    <w:p w:rsidR="00E46827" w:rsidRPr="00115C82" w:rsidRDefault="00E46827" w:rsidP="005254DB">
      <w:pPr>
        <w:pStyle w:val="a5"/>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7A384C">
        <w:rPr>
          <w:rFonts w:ascii="Times New Roman" w:hAnsi="Times New Roman" w:cs="Times New Roman"/>
          <w:sz w:val="28"/>
          <w:szCs w:val="28"/>
        </w:rPr>
        <w:t xml:space="preserve"> проаналізувати </w:t>
      </w:r>
      <w:r>
        <w:rPr>
          <w:rFonts w:ascii="Times New Roman" w:hAnsi="Times New Roman" w:cs="Times New Roman"/>
          <w:sz w:val="28"/>
          <w:szCs w:val="28"/>
        </w:rPr>
        <w:t xml:space="preserve">світовий досвід </w:t>
      </w:r>
      <w:r w:rsidRPr="00115C82">
        <w:rPr>
          <w:rFonts w:ascii="Times New Roman" w:hAnsi="Times New Roman" w:cs="Times New Roman"/>
          <w:sz w:val="28"/>
          <w:szCs w:val="28"/>
        </w:rPr>
        <w:t>країн</w:t>
      </w:r>
      <w:r>
        <w:rPr>
          <w:rFonts w:ascii="Times New Roman" w:hAnsi="Times New Roman" w:cs="Times New Roman"/>
          <w:sz w:val="28"/>
          <w:szCs w:val="28"/>
        </w:rPr>
        <w:t xml:space="preserve"> – найбільших боржників,</w:t>
      </w:r>
      <w:r w:rsidRPr="00115C82">
        <w:rPr>
          <w:rFonts w:ascii="Times New Roman" w:hAnsi="Times New Roman" w:cs="Times New Roman"/>
          <w:sz w:val="28"/>
          <w:szCs w:val="28"/>
        </w:rPr>
        <w:t xml:space="preserve"> </w:t>
      </w:r>
      <w:r>
        <w:rPr>
          <w:rFonts w:ascii="Times New Roman" w:hAnsi="Times New Roman" w:cs="Times New Roman"/>
          <w:sz w:val="28"/>
          <w:szCs w:val="28"/>
        </w:rPr>
        <w:t>що</w:t>
      </w:r>
      <w:r w:rsidRPr="00115C82">
        <w:rPr>
          <w:rFonts w:ascii="Times New Roman" w:hAnsi="Times New Roman" w:cs="Times New Roman"/>
          <w:sz w:val="28"/>
          <w:szCs w:val="28"/>
        </w:rPr>
        <w:t xml:space="preserve">до </w:t>
      </w:r>
      <w:r>
        <w:rPr>
          <w:rFonts w:ascii="Times New Roman" w:hAnsi="Times New Roman" w:cs="Times New Roman"/>
          <w:sz w:val="28"/>
          <w:szCs w:val="28"/>
        </w:rPr>
        <w:t xml:space="preserve">вирішення </w:t>
      </w:r>
      <w:r w:rsidRPr="00115C82">
        <w:rPr>
          <w:rFonts w:ascii="Times New Roman" w:hAnsi="Times New Roman" w:cs="Times New Roman"/>
          <w:sz w:val="28"/>
          <w:szCs w:val="28"/>
        </w:rPr>
        <w:t xml:space="preserve">проблеми зовнішньої заборгованості та </w:t>
      </w:r>
      <w:r>
        <w:rPr>
          <w:rFonts w:ascii="Times New Roman" w:hAnsi="Times New Roman" w:cs="Times New Roman"/>
          <w:sz w:val="28"/>
          <w:szCs w:val="28"/>
        </w:rPr>
        <w:t>визнач</w:t>
      </w:r>
      <w:r w:rsidR="007A384C">
        <w:rPr>
          <w:rFonts w:ascii="Times New Roman" w:hAnsi="Times New Roman" w:cs="Times New Roman"/>
          <w:sz w:val="28"/>
          <w:szCs w:val="28"/>
        </w:rPr>
        <w:t xml:space="preserve">ити </w:t>
      </w:r>
      <w:r>
        <w:rPr>
          <w:rFonts w:ascii="Times New Roman" w:hAnsi="Times New Roman" w:cs="Times New Roman"/>
          <w:sz w:val="28"/>
          <w:szCs w:val="28"/>
        </w:rPr>
        <w:t>стратегічн</w:t>
      </w:r>
      <w:r w:rsidR="007A384C">
        <w:rPr>
          <w:rFonts w:ascii="Times New Roman" w:hAnsi="Times New Roman" w:cs="Times New Roman"/>
          <w:sz w:val="28"/>
          <w:szCs w:val="28"/>
        </w:rPr>
        <w:t>і</w:t>
      </w:r>
      <w:r>
        <w:rPr>
          <w:rFonts w:ascii="Times New Roman" w:hAnsi="Times New Roman" w:cs="Times New Roman"/>
          <w:sz w:val="28"/>
          <w:szCs w:val="28"/>
        </w:rPr>
        <w:t xml:space="preserve"> підход</w:t>
      </w:r>
      <w:r w:rsidR="007A384C">
        <w:rPr>
          <w:rFonts w:ascii="Times New Roman" w:hAnsi="Times New Roman" w:cs="Times New Roman"/>
          <w:sz w:val="28"/>
          <w:szCs w:val="28"/>
        </w:rPr>
        <w:t xml:space="preserve">и стосовно </w:t>
      </w:r>
      <w:r>
        <w:rPr>
          <w:rFonts w:ascii="Times New Roman" w:hAnsi="Times New Roman" w:cs="Times New Roman"/>
          <w:sz w:val="28"/>
          <w:szCs w:val="28"/>
        </w:rPr>
        <w:t>розрахунк</w:t>
      </w:r>
      <w:r w:rsidR="007A384C">
        <w:rPr>
          <w:rFonts w:ascii="Times New Roman" w:hAnsi="Times New Roman" w:cs="Times New Roman"/>
          <w:sz w:val="28"/>
          <w:szCs w:val="28"/>
        </w:rPr>
        <w:t>ів</w:t>
      </w:r>
      <w:r>
        <w:rPr>
          <w:rFonts w:ascii="Times New Roman" w:hAnsi="Times New Roman" w:cs="Times New Roman"/>
          <w:sz w:val="28"/>
          <w:szCs w:val="28"/>
        </w:rPr>
        <w:t xml:space="preserve"> із зовнішніми боргами</w:t>
      </w:r>
      <w:r w:rsidRPr="00115C82">
        <w:rPr>
          <w:rFonts w:ascii="Times New Roman" w:hAnsi="Times New Roman" w:cs="Times New Roman"/>
          <w:sz w:val="28"/>
          <w:szCs w:val="28"/>
        </w:rPr>
        <w:t>;</w:t>
      </w:r>
    </w:p>
    <w:p w:rsidR="00E46827" w:rsidRPr="00115C82" w:rsidRDefault="00E46827" w:rsidP="005254DB">
      <w:pPr>
        <w:pStyle w:val="a5"/>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7A384C">
        <w:rPr>
          <w:rFonts w:ascii="Times New Roman" w:hAnsi="Times New Roman" w:cs="Times New Roman"/>
          <w:sz w:val="28"/>
          <w:szCs w:val="28"/>
        </w:rPr>
        <w:t xml:space="preserve"> визначити потенційні </w:t>
      </w:r>
      <w:r w:rsidRPr="00115C82">
        <w:rPr>
          <w:rFonts w:ascii="Times New Roman" w:hAnsi="Times New Roman" w:cs="Times New Roman"/>
          <w:sz w:val="28"/>
          <w:szCs w:val="28"/>
        </w:rPr>
        <w:t>ризики та</w:t>
      </w:r>
      <w:r w:rsidR="007A384C">
        <w:rPr>
          <w:rFonts w:ascii="Times New Roman" w:hAnsi="Times New Roman" w:cs="Times New Roman"/>
          <w:sz w:val="28"/>
          <w:szCs w:val="28"/>
        </w:rPr>
        <w:t xml:space="preserve"> виявити соціально-економічні </w:t>
      </w:r>
      <w:r w:rsidRPr="00115C82">
        <w:rPr>
          <w:rFonts w:ascii="Times New Roman" w:hAnsi="Times New Roman" w:cs="Times New Roman"/>
          <w:sz w:val="28"/>
          <w:szCs w:val="28"/>
        </w:rPr>
        <w:t xml:space="preserve">наслідки </w:t>
      </w:r>
      <w:r w:rsidR="007A384C">
        <w:rPr>
          <w:rFonts w:ascii="Times New Roman" w:hAnsi="Times New Roman" w:cs="Times New Roman"/>
          <w:sz w:val="28"/>
          <w:szCs w:val="28"/>
        </w:rPr>
        <w:t xml:space="preserve">настання </w:t>
      </w:r>
      <w:r w:rsidRPr="00115C82">
        <w:rPr>
          <w:rFonts w:ascii="Times New Roman" w:hAnsi="Times New Roman" w:cs="Times New Roman"/>
          <w:sz w:val="28"/>
          <w:szCs w:val="28"/>
        </w:rPr>
        <w:t>дефолту для країн світу;</w:t>
      </w:r>
    </w:p>
    <w:p w:rsidR="00E46827" w:rsidRPr="00115C82" w:rsidRDefault="00E46827" w:rsidP="005254DB">
      <w:pPr>
        <w:pStyle w:val="a5"/>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7A384C">
        <w:rPr>
          <w:rFonts w:ascii="Times New Roman" w:hAnsi="Times New Roman" w:cs="Times New Roman"/>
          <w:sz w:val="28"/>
          <w:szCs w:val="28"/>
        </w:rPr>
        <w:t xml:space="preserve"> дослідити </w:t>
      </w:r>
      <w:r w:rsidR="00B00634">
        <w:rPr>
          <w:rFonts w:ascii="Times New Roman" w:hAnsi="Times New Roman" w:cs="Times New Roman"/>
          <w:sz w:val="28"/>
          <w:szCs w:val="28"/>
        </w:rPr>
        <w:t xml:space="preserve">стан </w:t>
      </w:r>
      <w:r w:rsidRPr="00115C82">
        <w:rPr>
          <w:rFonts w:ascii="Times New Roman" w:hAnsi="Times New Roman" w:cs="Times New Roman"/>
          <w:sz w:val="28"/>
          <w:szCs w:val="28"/>
        </w:rPr>
        <w:t xml:space="preserve">зовнішньої заборгованості України та </w:t>
      </w:r>
      <w:r w:rsidR="007A384C">
        <w:rPr>
          <w:rFonts w:ascii="Times New Roman" w:hAnsi="Times New Roman" w:cs="Times New Roman"/>
          <w:sz w:val="28"/>
          <w:szCs w:val="28"/>
        </w:rPr>
        <w:t xml:space="preserve">визначити </w:t>
      </w:r>
      <w:r w:rsidR="00B00634">
        <w:rPr>
          <w:rFonts w:ascii="Times New Roman" w:hAnsi="Times New Roman" w:cs="Times New Roman"/>
          <w:sz w:val="28"/>
          <w:szCs w:val="28"/>
        </w:rPr>
        <w:t xml:space="preserve">пріоритети </w:t>
      </w:r>
      <w:r w:rsidRPr="00115C82">
        <w:rPr>
          <w:rFonts w:ascii="Times New Roman" w:hAnsi="Times New Roman" w:cs="Times New Roman"/>
          <w:sz w:val="28"/>
          <w:szCs w:val="28"/>
        </w:rPr>
        <w:t>ї</w:t>
      </w:r>
      <w:r w:rsidR="00B00634">
        <w:rPr>
          <w:rFonts w:ascii="Times New Roman" w:hAnsi="Times New Roman" w:cs="Times New Roman"/>
          <w:sz w:val="28"/>
          <w:szCs w:val="28"/>
        </w:rPr>
        <w:t>ї</w:t>
      </w:r>
      <w:r w:rsidRPr="00115C82">
        <w:rPr>
          <w:rFonts w:ascii="Times New Roman" w:hAnsi="Times New Roman" w:cs="Times New Roman"/>
          <w:sz w:val="28"/>
          <w:szCs w:val="28"/>
        </w:rPr>
        <w:t xml:space="preserve"> </w:t>
      </w:r>
      <w:r w:rsidR="00B00634">
        <w:rPr>
          <w:rFonts w:ascii="Times New Roman" w:hAnsi="Times New Roman" w:cs="Times New Roman"/>
          <w:sz w:val="28"/>
          <w:szCs w:val="28"/>
        </w:rPr>
        <w:t>мінімізації.</w:t>
      </w:r>
    </w:p>
    <w:p w:rsidR="0080407D" w:rsidRPr="005254DB" w:rsidRDefault="00893913" w:rsidP="005254DB">
      <w:pPr>
        <w:spacing w:line="360" w:lineRule="auto"/>
        <w:ind w:firstLine="284"/>
        <w:jc w:val="both"/>
        <w:rPr>
          <w:rFonts w:ascii="Times New Roman" w:hAnsi="Times New Roman" w:cs="Times New Roman"/>
          <w:sz w:val="28"/>
          <w:szCs w:val="28"/>
        </w:rPr>
      </w:pPr>
      <w:r w:rsidRPr="005254DB">
        <w:rPr>
          <w:rFonts w:ascii="Times New Roman" w:hAnsi="Times New Roman" w:cs="Times New Roman"/>
          <w:b/>
          <w:color w:val="000000"/>
          <w:sz w:val="28"/>
          <w:szCs w:val="28"/>
        </w:rPr>
        <w:t>Виклад основного матеріалу</w:t>
      </w:r>
      <w:r w:rsidR="007A384C" w:rsidRPr="005254DB">
        <w:rPr>
          <w:rFonts w:ascii="Times New Roman" w:hAnsi="Times New Roman" w:cs="Times New Roman"/>
          <w:b/>
          <w:color w:val="000000"/>
          <w:sz w:val="28"/>
          <w:szCs w:val="28"/>
        </w:rPr>
        <w:t xml:space="preserve">. </w:t>
      </w:r>
      <w:r w:rsidR="001620A7" w:rsidRPr="005254DB">
        <w:rPr>
          <w:rFonts w:ascii="Times New Roman" w:hAnsi="Times New Roman" w:cs="Times New Roman"/>
          <w:sz w:val="28"/>
          <w:szCs w:val="28"/>
        </w:rPr>
        <w:t xml:space="preserve">Проблеми </w:t>
      </w:r>
      <w:proofErr w:type="spellStart"/>
      <w:r w:rsidR="001620A7" w:rsidRPr="005254DB">
        <w:rPr>
          <w:rFonts w:ascii="Times New Roman" w:hAnsi="Times New Roman" w:cs="Times New Roman"/>
          <w:sz w:val="28"/>
          <w:szCs w:val="28"/>
        </w:rPr>
        <w:t>боргової</w:t>
      </w:r>
      <w:proofErr w:type="spellEnd"/>
      <w:r w:rsidR="001620A7" w:rsidRPr="005254DB">
        <w:rPr>
          <w:rFonts w:ascii="Times New Roman" w:hAnsi="Times New Roman" w:cs="Times New Roman"/>
          <w:sz w:val="28"/>
          <w:szCs w:val="28"/>
        </w:rPr>
        <w:t xml:space="preserve"> </w:t>
      </w:r>
      <w:proofErr w:type="spellStart"/>
      <w:r w:rsidR="001620A7" w:rsidRPr="005254DB">
        <w:rPr>
          <w:rFonts w:ascii="Times New Roman" w:hAnsi="Times New Roman" w:cs="Times New Roman"/>
          <w:sz w:val="28"/>
          <w:szCs w:val="28"/>
        </w:rPr>
        <w:t>стійкості</w:t>
      </w:r>
      <w:proofErr w:type="spellEnd"/>
      <w:r w:rsidR="001620A7" w:rsidRPr="005254DB">
        <w:rPr>
          <w:rFonts w:ascii="Times New Roman" w:hAnsi="Times New Roman" w:cs="Times New Roman"/>
          <w:sz w:val="28"/>
          <w:szCs w:val="28"/>
        </w:rPr>
        <w:t xml:space="preserve"> </w:t>
      </w:r>
      <w:proofErr w:type="spellStart"/>
      <w:r w:rsidR="001620A7" w:rsidRPr="005254DB">
        <w:rPr>
          <w:rFonts w:ascii="Times New Roman" w:hAnsi="Times New Roman" w:cs="Times New Roman"/>
          <w:sz w:val="28"/>
          <w:szCs w:val="28"/>
        </w:rPr>
        <w:t>традиційно</w:t>
      </w:r>
      <w:proofErr w:type="spellEnd"/>
      <w:r w:rsidR="001620A7" w:rsidRPr="005254DB">
        <w:rPr>
          <w:rFonts w:ascii="Times New Roman" w:hAnsi="Times New Roman" w:cs="Times New Roman"/>
          <w:sz w:val="28"/>
          <w:szCs w:val="28"/>
        </w:rPr>
        <w:t xml:space="preserve"> привертали увагу вчених і практиків-управлінців, оскільки це критично </w:t>
      </w:r>
      <w:proofErr w:type="spellStart"/>
      <w:r w:rsidR="001620A7" w:rsidRPr="005254DB">
        <w:rPr>
          <w:rFonts w:ascii="Times New Roman" w:hAnsi="Times New Roman" w:cs="Times New Roman"/>
          <w:sz w:val="28"/>
          <w:szCs w:val="28"/>
        </w:rPr>
        <w:t>важливий</w:t>
      </w:r>
      <w:proofErr w:type="spellEnd"/>
      <w:r w:rsidR="001620A7" w:rsidRPr="005254DB">
        <w:rPr>
          <w:rFonts w:ascii="Times New Roman" w:hAnsi="Times New Roman" w:cs="Times New Roman"/>
          <w:sz w:val="28"/>
          <w:szCs w:val="28"/>
        </w:rPr>
        <w:t xml:space="preserve"> компонент </w:t>
      </w:r>
      <w:proofErr w:type="spellStart"/>
      <w:r w:rsidR="001620A7" w:rsidRPr="005254DB">
        <w:rPr>
          <w:rFonts w:ascii="Times New Roman" w:hAnsi="Times New Roman" w:cs="Times New Roman"/>
          <w:sz w:val="28"/>
          <w:szCs w:val="28"/>
        </w:rPr>
        <w:t>макроекономічної</w:t>
      </w:r>
      <w:proofErr w:type="spellEnd"/>
      <w:r w:rsidR="001620A7" w:rsidRPr="005254DB">
        <w:rPr>
          <w:rFonts w:ascii="Times New Roman" w:hAnsi="Times New Roman" w:cs="Times New Roman"/>
          <w:sz w:val="28"/>
          <w:szCs w:val="28"/>
        </w:rPr>
        <w:t xml:space="preserve"> стабільності та збалансованого розвитку державних фінансів </w:t>
      </w:r>
      <w:proofErr w:type="spellStart"/>
      <w:r w:rsidR="001620A7" w:rsidRPr="005254DB">
        <w:rPr>
          <w:rFonts w:ascii="Times New Roman" w:hAnsi="Times New Roman" w:cs="Times New Roman"/>
          <w:sz w:val="28"/>
          <w:szCs w:val="28"/>
        </w:rPr>
        <w:t>країн</w:t>
      </w:r>
      <w:r w:rsidR="007A384C" w:rsidRPr="005254DB">
        <w:rPr>
          <w:rFonts w:ascii="Times New Roman" w:hAnsi="Times New Roman" w:cs="Times New Roman"/>
          <w:sz w:val="28"/>
          <w:szCs w:val="28"/>
        </w:rPr>
        <w:t>и</w:t>
      </w:r>
      <w:proofErr w:type="spellEnd"/>
      <w:r w:rsidR="001620A7" w:rsidRPr="005254DB">
        <w:rPr>
          <w:rFonts w:ascii="Times New Roman" w:hAnsi="Times New Roman" w:cs="Times New Roman"/>
          <w:sz w:val="28"/>
          <w:szCs w:val="28"/>
        </w:rPr>
        <w:t>. Відомо,</w:t>
      </w:r>
      <w:r w:rsidR="0055377F" w:rsidRPr="005254DB">
        <w:rPr>
          <w:rFonts w:ascii="Times New Roman" w:hAnsi="Times New Roman" w:cs="Times New Roman"/>
          <w:sz w:val="28"/>
          <w:szCs w:val="28"/>
        </w:rPr>
        <w:t xml:space="preserve"> що державні позики можуть </w:t>
      </w:r>
      <w:r w:rsidR="0055377F" w:rsidRPr="005254DB">
        <w:rPr>
          <w:rFonts w:ascii="Times New Roman" w:hAnsi="Times New Roman" w:cs="Times New Roman"/>
          <w:sz w:val="28"/>
          <w:szCs w:val="28"/>
        </w:rPr>
        <w:lastRenderedPageBreak/>
        <w:t>при</w:t>
      </w:r>
      <w:r w:rsidR="001620A7" w:rsidRPr="005254DB">
        <w:rPr>
          <w:rFonts w:ascii="Times New Roman" w:hAnsi="Times New Roman" w:cs="Times New Roman"/>
          <w:sz w:val="28"/>
          <w:szCs w:val="28"/>
        </w:rPr>
        <w:t>скорити темпи економічного зроста</w:t>
      </w:r>
      <w:r w:rsidR="0055377F" w:rsidRPr="005254DB">
        <w:rPr>
          <w:rFonts w:ascii="Times New Roman" w:hAnsi="Times New Roman" w:cs="Times New Roman"/>
          <w:sz w:val="28"/>
          <w:szCs w:val="28"/>
        </w:rPr>
        <w:t>ння за рахунок фінансування про</w:t>
      </w:r>
      <w:r w:rsidR="001620A7" w:rsidRPr="005254DB">
        <w:rPr>
          <w:rFonts w:ascii="Times New Roman" w:hAnsi="Times New Roman" w:cs="Times New Roman"/>
          <w:sz w:val="28"/>
          <w:szCs w:val="28"/>
        </w:rPr>
        <w:t xml:space="preserve">дуктивних </w:t>
      </w:r>
      <w:proofErr w:type="spellStart"/>
      <w:r w:rsidR="001620A7" w:rsidRPr="005254DB">
        <w:rPr>
          <w:rFonts w:ascii="Times New Roman" w:hAnsi="Times New Roman" w:cs="Times New Roman"/>
          <w:sz w:val="28"/>
          <w:szCs w:val="28"/>
        </w:rPr>
        <w:t>інвестицій</w:t>
      </w:r>
      <w:proofErr w:type="spellEnd"/>
      <w:r w:rsidR="001620A7" w:rsidRPr="005254DB">
        <w:rPr>
          <w:rFonts w:ascii="Times New Roman" w:hAnsi="Times New Roman" w:cs="Times New Roman"/>
          <w:sz w:val="28"/>
          <w:szCs w:val="28"/>
        </w:rPr>
        <w:t>, пом’якшити насл</w:t>
      </w:r>
      <w:r w:rsidR="0055377F" w:rsidRPr="005254DB">
        <w:rPr>
          <w:rFonts w:ascii="Times New Roman" w:hAnsi="Times New Roman" w:cs="Times New Roman"/>
          <w:sz w:val="28"/>
          <w:szCs w:val="28"/>
        </w:rPr>
        <w:t xml:space="preserve">ідки </w:t>
      </w:r>
      <w:r w:rsidR="007A384C" w:rsidRPr="005254DB">
        <w:rPr>
          <w:rFonts w:ascii="Times New Roman" w:hAnsi="Times New Roman" w:cs="Times New Roman"/>
          <w:sz w:val="28"/>
          <w:szCs w:val="28"/>
        </w:rPr>
        <w:t xml:space="preserve">впливу </w:t>
      </w:r>
      <w:proofErr w:type="spellStart"/>
      <w:r w:rsidR="0055377F" w:rsidRPr="005254DB">
        <w:rPr>
          <w:rFonts w:ascii="Times New Roman" w:hAnsi="Times New Roman" w:cs="Times New Roman"/>
          <w:sz w:val="28"/>
          <w:szCs w:val="28"/>
        </w:rPr>
        <w:t>дії</w:t>
      </w:r>
      <w:proofErr w:type="spellEnd"/>
      <w:r w:rsidR="0055377F" w:rsidRPr="005254DB">
        <w:rPr>
          <w:rFonts w:ascii="Times New Roman" w:hAnsi="Times New Roman" w:cs="Times New Roman"/>
          <w:sz w:val="28"/>
          <w:szCs w:val="28"/>
        </w:rPr>
        <w:t xml:space="preserve"> несприятливих зовніш</w:t>
      </w:r>
      <w:r w:rsidR="001620A7" w:rsidRPr="005254DB">
        <w:rPr>
          <w:rFonts w:ascii="Times New Roman" w:hAnsi="Times New Roman" w:cs="Times New Roman"/>
          <w:sz w:val="28"/>
          <w:szCs w:val="28"/>
        </w:rPr>
        <w:t xml:space="preserve">ніх факторів </w:t>
      </w:r>
      <w:r w:rsidR="007A384C" w:rsidRPr="005254DB">
        <w:rPr>
          <w:rFonts w:ascii="Times New Roman" w:hAnsi="Times New Roman" w:cs="Times New Roman"/>
          <w:sz w:val="28"/>
          <w:szCs w:val="28"/>
        </w:rPr>
        <w:t>на розвиток національної економіки</w:t>
      </w:r>
      <w:r w:rsidR="001620A7" w:rsidRPr="005254DB">
        <w:rPr>
          <w:rFonts w:ascii="Times New Roman" w:hAnsi="Times New Roman" w:cs="Times New Roman"/>
          <w:sz w:val="28"/>
          <w:szCs w:val="28"/>
        </w:rPr>
        <w:t xml:space="preserve">. Проте, якщо </w:t>
      </w:r>
      <w:r w:rsidR="007A384C" w:rsidRPr="005254DB">
        <w:rPr>
          <w:rFonts w:ascii="Times New Roman" w:hAnsi="Times New Roman" w:cs="Times New Roman"/>
          <w:sz w:val="28"/>
          <w:szCs w:val="28"/>
        </w:rPr>
        <w:t xml:space="preserve">країна </w:t>
      </w:r>
      <w:r w:rsidR="001620A7" w:rsidRPr="005254DB">
        <w:rPr>
          <w:rFonts w:ascii="Times New Roman" w:hAnsi="Times New Roman" w:cs="Times New Roman"/>
          <w:sz w:val="28"/>
          <w:szCs w:val="28"/>
        </w:rPr>
        <w:t>накопичу</w:t>
      </w:r>
      <w:r w:rsidR="007A384C" w:rsidRPr="005254DB">
        <w:rPr>
          <w:rFonts w:ascii="Times New Roman" w:hAnsi="Times New Roman" w:cs="Times New Roman"/>
          <w:sz w:val="28"/>
          <w:szCs w:val="28"/>
        </w:rPr>
        <w:t>є</w:t>
      </w:r>
      <w:r w:rsidR="001620A7" w:rsidRPr="005254DB">
        <w:rPr>
          <w:rFonts w:ascii="Times New Roman" w:hAnsi="Times New Roman" w:cs="Times New Roman"/>
          <w:sz w:val="28"/>
          <w:szCs w:val="28"/>
        </w:rPr>
        <w:t xml:space="preserve"> боргові зобов’язання понад </w:t>
      </w:r>
      <w:r w:rsidR="007A384C" w:rsidRPr="005254DB">
        <w:rPr>
          <w:rFonts w:ascii="Times New Roman" w:hAnsi="Times New Roman" w:cs="Times New Roman"/>
          <w:sz w:val="28"/>
          <w:szCs w:val="28"/>
        </w:rPr>
        <w:t xml:space="preserve">критичний </w:t>
      </w:r>
      <w:r w:rsidR="001620A7" w:rsidRPr="005254DB">
        <w:rPr>
          <w:rFonts w:ascii="Times New Roman" w:hAnsi="Times New Roman" w:cs="Times New Roman"/>
          <w:sz w:val="28"/>
          <w:szCs w:val="28"/>
        </w:rPr>
        <w:t>рівень</w:t>
      </w:r>
      <w:r w:rsidR="007A384C" w:rsidRPr="005254DB">
        <w:rPr>
          <w:rFonts w:ascii="Times New Roman" w:hAnsi="Times New Roman" w:cs="Times New Roman"/>
          <w:sz w:val="28"/>
          <w:szCs w:val="28"/>
        </w:rPr>
        <w:t xml:space="preserve"> (стандарт – не більше ніж 60 % ВВП)</w:t>
      </w:r>
      <w:r w:rsidR="001620A7" w:rsidRPr="005254DB">
        <w:rPr>
          <w:rFonts w:ascii="Times New Roman" w:hAnsi="Times New Roman" w:cs="Times New Roman"/>
          <w:sz w:val="28"/>
          <w:szCs w:val="28"/>
        </w:rPr>
        <w:t xml:space="preserve">, </w:t>
      </w:r>
      <w:r w:rsidR="007A384C" w:rsidRPr="005254DB">
        <w:rPr>
          <w:rFonts w:ascii="Times New Roman" w:hAnsi="Times New Roman" w:cs="Times New Roman"/>
          <w:sz w:val="28"/>
          <w:szCs w:val="28"/>
        </w:rPr>
        <w:t xml:space="preserve">та </w:t>
      </w:r>
      <w:r w:rsidR="001620A7" w:rsidRPr="005254DB">
        <w:rPr>
          <w:rFonts w:ascii="Times New Roman" w:hAnsi="Times New Roman" w:cs="Times New Roman"/>
          <w:sz w:val="28"/>
          <w:szCs w:val="28"/>
        </w:rPr>
        <w:t xml:space="preserve">з високою </w:t>
      </w:r>
      <w:proofErr w:type="spellStart"/>
      <w:r w:rsidR="001620A7" w:rsidRPr="005254DB">
        <w:rPr>
          <w:rFonts w:ascii="Times New Roman" w:hAnsi="Times New Roman" w:cs="Times New Roman"/>
          <w:sz w:val="28"/>
          <w:szCs w:val="28"/>
        </w:rPr>
        <w:t>ймовірністю</w:t>
      </w:r>
      <w:proofErr w:type="spellEnd"/>
      <w:r w:rsidR="001620A7" w:rsidRPr="005254DB">
        <w:rPr>
          <w:rFonts w:ascii="Times New Roman" w:hAnsi="Times New Roman" w:cs="Times New Roman"/>
          <w:sz w:val="28"/>
          <w:szCs w:val="28"/>
        </w:rPr>
        <w:t xml:space="preserve"> може виникнути боргова криза, що стане детонатором </w:t>
      </w:r>
      <w:proofErr w:type="spellStart"/>
      <w:r w:rsidR="001620A7" w:rsidRPr="005254DB">
        <w:rPr>
          <w:rFonts w:ascii="Times New Roman" w:hAnsi="Times New Roman" w:cs="Times New Roman"/>
          <w:sz w:val="28"/>
          <w:szCs w:val="28"/>
        </w:rPr>
        <w:t>фінансової</w:t>
      </w:r>
      <w:proofErr w:type="spellEnd"/>
      <w:r w:rsidR="001620A7" w:rsidRPr="005254DB">
        <w:rPr>
          <w:rFonts w:ascii="Times New Roman" w:hAnsi="Times New Roman" w:cs="Times New Roman"/>
          <w:sz w:val="28"/>
          <w:szCs w:val="28"/>
        </w:rPr>
        <w:t xml:space="preserve"> кризи і чинником галь</w:t>
      </w:r>
      <w:r w:rsidR="007A384C" w:rsidRPr="005254DB">
        <w:rPr>
          <w:rFonts w:ascii="Times New Roman" w:hAnsi="Times New Roman" w:cs="Times New Roman"/>
          <w:sz w:val="28"/>
          <w:szCs w:val="28"/>
        </w:rPr>
        <w:t xml:space="preserve">мування </w:t>
      </w:r>
      <w:proofErr w:type="spellStart"/>
      <w:r w:rsidR="00B02813" w:rsidRPr="005254DB">
        <w:rPr>
          <w:rFonts w:ascii="Times New Roman" w:hAnsi="Times New Roman" w:cs="Times New Roman"/>
          <w:sz w:val="28"/>
          <w:szCs w:val="28"/>
        </w:rPr>
        <w:t>економічної</w:t>
      </w:r>
      <w:proofErr w:type="spellEnd"/>
      <w:r w:rsidR="00B02813" w:rsidRPr="005254DB">
        <w:rPr>
          <w:rFonts w:ascii="Times New Roman" w:hAnsi="Times New Roman" w:cs="Times New Roman"/>
          <w:sz w:val="28"/>
          <w:szCs w:val="28"/>
        </w:rPr>
        <w:t xml:space="preserve"> </w:t>
      </w:r>
      <w:r w:rsidR="007A384C" w:rsidRPr="005254DB">
        <w:rPr>
          <w:rFonts w:ascii="Times New Roman" w:hAnsi="Times New Roman" w:cs="Times New Roman"/>
          <w:sz w:val="28"/>
          <w:szCs w:val="28"/>
        </w:rPr>
        <w:t xml:space="preserve">активності в країні, а у гіршому випадку – може призвести до </w:t>
      </w:r>
      <w:r w:rsidR="00B02813" w:rsidRPr="005254DB">
        <w:rPr>
          <w:rFonts w:ascii="Times New Roman" w:hAnsi="Times New Roman" w:cs="Times New Roman"/>
          <w:sz w:val="28"/>
          <w:szCs w:val="28"/>
        </w:rPr>
        <w:t>оголошення</w:t>
      </w:r>
      <w:r w:rsidR="007A384C" w:rsidRPr="005254DB">
        <w:rPr>
          <w:rFonts w:ascii="Times New Roman" w:hAnsi="Times New Roman" w:cs="Times New Roman"/>
          <w:sz w:val="28"/>
          <w:szCs w:val="28"/>
        </w:rPr>
        <w:t xml:space="preserve"> країною </w:t>
      </w:r>
      <w:r w:rsidR="00B02813" w:rsidRPr="005254DB">
        <w:rPr>
          <w:rFonts w:ascii="Times New Roman" w:hAnsi="Times New Roman" w:cs="Times New Roman"/>
          <w:sz w:val="28"/>
          <w:szCs w:val="28"/>
        </w:rPr>
        <w:t>дефолту.</w:t>
      </w:r>
      <w:r w:rsidR="0080407D" w:rsidRPr="005254DB">
        <w:rPr>
          <w:rFonts w:ascii="Times New Roman" w:hAnsi="Times New Roman" w:cs="Times New Roman"/>
          <w:sz w:val="28"/>
          <w:szCs w:val="28"/>
        </w:rPr>
        <w:t xml:space="preserve"> </w:t>
      </w:r>
      <w:r w:rsidR="007A384C" w:rsidRPr="005254DB">
        <w:rPr>
          <w:rFonts w:ascii="Times New Roman" w:hAnsi="Times New Roman" w:cs="Times New Roman"/>
          <w:sz w:val="28"/>
          <w:szCs w:val="28"/>
        </w:rPr>
        <w:t>Станом на 2016 р. с</w:t>
      </w:r>
      <w:r w:rsidR="0080407D" w:rsidRPr="005254DB">
        <w:rPr>
          <w:rFonts w:ascii="Times New Roman" w:hAnsi="Times New Roman" w:cs="Times New Roman"/>
          <w:sz w:val="28"/>
          <w:szCs w:val="28"/>
        </w:rPr>
        <w:t xml:space="preserve">еред найбільших боржників світу </w:t>
      </w:r>
      <w:r w:rsidR="007A384C" w:rsidRPr="005254DB">
        <w:rPr>
          <w:rFonts w:ascii="Times New Roman" w:hAnsi="Times New Roman" w:cs="Times New Roman"/>
          <w:sz w:val="28"/>
          <w:szCs w:val="28"/>
        </w:rPr>
        <w:t xml:space="preserve">«лідерство» належало </w:t>
      </w:r>
      <w:r w:rsidR="0080407D" w:rsidRPr="005254DB">
        <w:rPr>
          <w:rFonts w:ascii="Times New Roman" w:hAnsi="Times New Roman" w:cs="Times New Roman"/>
          <w:sz w:val="28"/>
          <w:szCs w:val="28"/>
        </w:rPr>
        <w:t>Японі</w:t>
      </w:r>
      <w:r w:rsidR="007A384C" w:rsidRPr="005254DB">
        <w:rPr>
          <w:rFonts w:ascii="Times New Roman" w:hAnsi="Times New Roman" w:cs="Times New Roman"/>
          <w:sz w:val="28"/>
          <w:szCs w:val="28"/>
        </w:rPr>
        <w:t>ї</w:t>
      </w:r>
      <w:r w:rsidR="0080407D" w:rsidRPr="005254DB">
        <w:rPr>
          <w:rFonts w:ascii="Times New Roman" w:hAnsi="Times New Roman" w:cs="Times New Roman"/>
          <w:sz w:val="28"/>
          <w:szCs w:val="28"/>
        </w:rPr>
        <w:t xml:space="preserve"> в рейтингу ТОП-20 краї</w:t>
      </w:r>
      <w:r w:rsidR="007A384C" w:rsidRPr="005254DB">
        <w:rPr>
          <w:rFonts w:ascii="Times New Roman" w:hAnsi="Times New Roman" w:cs="Times New Roman"/>
          <w:sz w:val="28"/>
          <w:szCs w:val="28"/>
        </w:rPr>
        <w:t xml:space="preserve">н з найбільшим державним боргом, </w:t>
      </w:r>
      <w:r w:rsidR="00115C82" w:rsidRPr="005254DB">
        <w:rPr>
          <w:rFonts w:ascii="Times New Roman" w:hAnsi="Times New Roman" w:cs="Times New Roman"/>
          <w:sz w:val="28"/>
          <w:szCs w:val="28"/>
        </w:rPr>
        <w:t xml:space="preserve">а </w:t>
      </w:r>
      <w:r w:rsidR="007A384C" w:rsidRPr="005254DB">
        <w:rPr>
          <w:rFonts w:ascii="Times New Roman" w:hAnsi="Times New Roman" w:cs="Times New Roman"/>
          <w:sz w:val="28"/>
          <w:szCs w:val="28"/>
        </w:rPr>
        <w:t xml:space="preserve">двадцяте </w:t>
      </w:r>
      <w:r w:rsidR="00115C82" w:rsidRPr="005254DB">
        <w:rPr>
          <w:rFonts w:ascii="Times New Roman" w:hAnsi="Times New Roman" w:cs="Times New Roman"/>
          <w:sz w:val="28"/>
          <w:szCs w:val="28"/>
        </w:rPr>
        <w:t xml:space="preserve">місце </w:t>
      </w:r>
      <w:r w:rsidR="007A384C" w:rsidRPr="005254DB">
        <w:rPr>
          <w:rFonts w:ascii="Times New Roman" w:hAnsi="Times New Roman" w:cs="Times New Roman"/>
          <w:sz w:val="28"/>
          <w:szCs w:val="28"/>
        </w:rPr>
        <w:t xml:space="preserve">– </w:t>
      </w:r>
      <w:r w:rsidR="00115C82" w:rsidRPr="005254DB">
        <w:rPr>
          <w:rFonts w:ascii="Times New Roman" w:hAnsi="Times New Roman" w:cs="Times New Roman"/>
          <w:sz w:val="28"/>
          <w:szCs w:val="28"/>
        </w:rPr>
        <w:t>Франці</w:t>
      </w:r>
      <w:r w:rsidR="007A384C" w:rsidRPr="005254DB">
        <w:rPr>
          <w:rFonts w:ascii="Times New Roman" w:hAnsi="Times New Roman" w:cs="Times New Roman"/>
          <w:sz w:val="28"/>
          <w:szCs w:val="28"/>
        </w:rPr>
        <w:t>ї</w:t>
      </w:r>
      <w:r w:rsidR="00115C82" w:rsidRPr="005254DB">
        <w:rPr>
          <w:rFonts w:ascii="Times New Roman" w:hAnsi="Times New Roman" w:cs="Times New Roman"/>
          <w:sz w:val="28"/>
          <w:szCs w:val="28"/>
        </w:rPr>
        <w:t xml:space="preserve"> (</w:t>
      </w:r>
      <w:r w:rsidR="007A384C" w:rsidRPr="005254DB">
        <w:rPr>
          <w:rFonts w:ascii="Times New Roman" w:hAnsi="Times New Roman" w:cs="Times New Roman"/>
          <w:sz w:val="28"/>
          <w:szCs w:val="28"/>
        </w:rPr>
        <w:t>рис 1</w:t>
      </w:r>
      <w:r w:rsidR="007E4C63" w:rsidRPr="005254DB">
        <w:rPr>
          <w:rFonts w:ascii="Times New Roman" w:hAnsi="Times New Roman" w:cs="Times New Roman"/>
          <w:sz w:val="28"/>
          <w:szCs w:val="28"/>
        </w:rPr>
        <w:t>)</w:t>
      </w:r>
      <w:r w:rsidR="003278D6" w:rsidRPr="005254DB">
        <w:rPr>
          <w:rFonts w:ascii="Times New Roman" w:hAnsi="Times New Roman" w:cs="Times New Roman"/>
          <w:noProof/>
          <w:color w:val="000000" w:themeColor="text1"/>
          <w:sz w:val="28"/>
          <w:szCs w:val="28"/>
        </w:rPr>
        <w:t>.</w:t>
      </w:r>
    </w:p>
    <w:p w:rsidR="00CE0801" w:rsidRPr="00115C82" w:rsidRDefault="0080407D" w:rsidP="00354C71">
      <w:pPr>
        <w:spacing w:line="360" w:lineRule="auto"/>
        <w:jc w:val="both"/>
        <w:rPr>
          <w:rFonts w:ascii="Times New Roman" w:hAnsi="Times New Roman" w:cs="Times New Roman"/>
          <w:sz w:val="28"/>
          <w:szCs w:val="28"/>
        </w:rPr>
      </w:pPr>
      <w:r w:rsidRPr="00115C82">
        <w:rPr>
          <w:rFonts w:ascii="Times New Roman" w:hAnsi="Times New Roman" w:cs="Times New Roman"/>
          <w:noProof/>
          <w:color w:val="000000" w:themeColor="text1"/>
          <w:sz w:val="28"/>
          <w:szCs w:val="28"/>
          <w:lang w:val="ru-RU"/>
        </w:rPr>
        <w:drawing>
          <wp:inline distT="0" distB="0" distL="0" distR="0">
            <wp:extent cx="5487035" cy="4225290"/>
            <wp:effectExtent l="0" t="0" r="2476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15C82">
        <w:rPr>
          <w:rFonts w:ascii="Times New Roman" w:hAnsi="Times New Roman" w:cs="Times New Roman"/>
          <w:sz w:val="28"/>
          <w:szCs w:val="28"/>
        </w:rPr>
        <w:t xml:space="preserve"> </w:t>
      </w:r>
    </w:p>
    <w:p w:rsidR="0080407D" w:rsidRPr="00115C82" w:rsidRDefault="007A384C" w:rsidP="00354C71">
      <w:pPr>
        <w:widowControl w:val="0"/>
        <w:autoSpaceDE w:val="0"/>
        <w:autoSpaceDN w:val="0"/>
        <w:adjustRightInd w:val="0"/>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Рис.1.</w:t>
      </w:r>
      <w:r w:rsidR="0080407D" w:rsidRPr="00115C82">
        <w:rPr>
          <w:rFonts w:ascii="Times New Roman" w:hAnsi="Times New Roman" w:cs="Times New Roman"/>
          <w:b/>
          <w:color w:val="000000" w:themeColor="text1"/>
          <w:sz w:val="28"/>
          <w:szCs w:val="28"/>
        </w:rPr>
        <w:t xml:space="preserve">  Топ-20 країн з найбільшим державним боргом у 2016 р. (у відсотках до ВВП (% до ВВП) </w:t>
      </w:r>
    </w:p>
    <w:p w:rsidR="0080407D" w:rsidRPr="00115C82" w:rsidRDefault="007A384C" w:rsidP="00354C71">
      <w:pPr>
        <w:widowControl w:val="0"/>
        <w:autoSpaceDE w:val="0"/>
        <w:autoSpaceDN w:val="0"/>
        <w:adjustRightInd w:val="0"/>
        <w:spacing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Джерело: </w:t>
      </w:r>
      <w:r w:rsidR="0080407D" w:rsidRPr="00115C82">
        <w:rPr>
          <w:rFonts w:ascii="Times New Roman" w:hAnsi="Times New Roman" w:cs="Times New Roman"/>
          <w:color w:val="000000" w:themeColor="text1"/>
          <w:sz w:val="28"/>
          <w:szCs w:val="28"/>
        </w:rPr>
        <w:t>Побудовано за даними МВФ</w:t>
      </w:r>
      <w:r w:rsidR="0080407D" w:rsidRPr="00115C82">
        <w:rPr>
          <w:rFonts w:ascii="Times New Roman" w:hAnsi="Times New Roman" w:cs="Times New Roman"/>
          <w:b/>
          <w:i/>
          <w:color w:val="000000"/>
          <w:sz w:val="28"/>
          <w:szCs w:val="28"/>
        </w:rPr>
        <w:t xml:space="preserve"> </w:t>
      </w:r>
      <w:r w:rsidRPr="007A384C">
        <w:rPr>
          <w:rFonts w:ascii="Times New Roman" w:hAnsi="Times New Roman" w:cs="Times New Roman"/>
          <w:noProof/>
          <w:color w:val="000000" w:themeColor="text1"/>
          <w:sz w:val="28"/>
          <w:szCs w:val="28"/>
        </w:rPr>
        <w:t>[10]</w:t>
      </w:r>
      <w:r>
        <w:rPr>
          <w:rFonts w:ascii="Times New Roman" w:hAnsi="Times New Roman" w:cs="Times New Roman"/>
          <w:noProof/>
          <w:color w:val="000000" w:themeColor="text1"/>
          <w:sz w:val="28"/>
          <w:szCs w:val="28"/>
        </w:rPr>
        <w:t>.</w:t>
      </w:r>
    </w:p>
    <w:p w:rsidR="00354C71" w:rsidRPr="00115C82" w:rsidRDefault="003F1A7B" w:rsidP="005254DB">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Причини нарощування зовнішньої заборгованості у кожної країни – свої. </w:t>
      </w:r>
      <w:r w:rsidR="00354C71" w:rsidRPr="00115C82">
        <w:rPr>
          <w:rFonts w:ascii="Times New Roman" w:hAnsi="Times New Roman" w:cs="Times New Roman"/>
          <w:color w:val="000000" w:themeColor="text1"/>
          <w:sz w:val="28"/>
          <w:szCs w:val="28"/>
        </w:rPr>
        <w:t xml:space="preserve">У 90-х рр. ХХ ст. Японія та Франція зіткнулись з рядом економічних проблем, що </w:t>
      </w:r>
      <w:r>
        <w:rPr>
          <w:rFonts w:ascii="Times New Roman" w:hAnsi="Times New Roman" w:cs="Times New Roman"/>
          <w:color w:val="000000" w:themeColor="text1"/>
          <w:sz w:val="28"/>
          <w:szCs w:val="28"/>
        </w:rPr>
        <w:t xml:space="preserve">супроводжували загострення </w:t>
      </w:r>
      <w:proofErr w:type="spellStart"/>
      <w:r w:rsidR="00354C71" w:rsidRPr="00115C82">
        <w:rPr>
          <w:rFonts w:ascii="Times New Roman" w:hAnsi="Times New Roman" w:cs="Times New Roman"/>
          <w:color w:val="000000" w:themeColor="text1"/>
          <w:sz w:val="28"/>
          <w:szCs w:val="28"/>
        </w:rPr>
        <w:t>банківської</w:t>
      </w:r>
      <w:proofErr w:type="spellEnd"/>
      <w:r w:rsidR="00354C71" w:rsidRPr="00115C82">
        <w:rPr>
          <w:rFonts w:ascii="Times New Roman" w:hAnsi="Times New Roman" w:cs="Times New Roman"/>
          <w:color w:val="000000" w:themeColor="text1"/>
          <w:sz w:val="28"/>
          <w:szCs w:val="28"/>
        </w:rPr>
        <w:t xml:space="preserve"> кризи</w:t>
      </w:r>
      <w:r>
        <w:rPr>
          <w:rFonts w:ascii="Times New Roman" w:hAnsi="Times New Roman" w:cs="Times New Roman"/>
          <w:color w:val="000000" w:themeColor="text1"/>
          <w:sz w:val="28"/>
          <w:szCs w:val="28"/>
        </w:rPr>
        <w:t xml:space="preserve"> внаслідок формування </w:t>
      </w:r>
      <w:r>
        <w:rPr>
          <w:rFonts w:ascii="Times New Roman" w:hAnsi="Times New Roman" w:cs="Times New Roman"/>
          <w:color w:val="000000" w:themeColor="text1"/>
          <w:sz w:val="28"/>
          <w:szCs w:val="28"/>
        </w:rPr>
        <w:lastRenderedPageBreak/>
        <w:t xml:space="preserve">«кредитних бульбашок» та збільшення обсягів ризикованих кредитів. З одного боку, «легке кредитування» стимулювало кредитування економіки та експортну </w:t>
      </w:r>
      <w:r w:rsidR="00354C71" w:rsidRPr="00115C82">
        <w:rPr>
          <w:rFonts w:ascii="Times New Roman" w:hAnsi="Times New Roman" w:cs="Times New Roman"/>
          <w:color w:val="000000" w:themeColor="text1"/>
          <w:sz w:val="28"/>
          <w:szCs w:val="28"/>
        </w:rPr>
        <w:t xml:space="preserve">експансію </w:t>
      </w:r>
      <w:r>
        <w:rPr>
          <w:rFonts w:ascii="Times New Roman" w:hAnsi="Times New Roman" w:cs="Times New Roman"/>
          <w:color w:val="000000" w:themeColor="text1"/>
          <w:sz w:val="28"/>
          <w:szCs w:val="28"/>
        </w:rPr>
        <w:t xml:space="preserve">цих країн </w:t>
      </w:r>
      <w:r w:rsidR="00354C71" w:rsidRPr="00115C82">
        <w:rPr>
          <w:rFonts w:ascii="Times New Roman" w:hAnsi="Times New Roman" w:cs="Times New Roman"/>
          <w:color w:val="000000" w:themeColor="text1"/>
          <w:sz w:val="28"/>
          <w:szCs w:val="28"/>
        </w:rPr>
        <w:t>на зовнішніх ринках, а</w:t>
      </w:r>
      <w:r>
        <w:rPr>
          <w:rFonts w:ascii="Times New Roman" w:hAnsi="Times New Roman" w:cs="Times New Roman"/>
          <w:color w:val="000000" w:themeColor="text1"/>
          <w:sz w:val="28"/>
          <w:szCs w:val="28"/>
        </w:rPr>
        <w:t>ле</w:t>
      </w:r>
      <w:r w:rsidR="00354C71" w:rsidRPr="00115C82">
        <w:rPr>
          <w:rFonts w:ascii="Times New Roman" w:hAnsi="Times New Roman" w:cs="Times New Roman"/>
          <w:color w:val="000000" w:themeColor="text1"/>
          <w:sz w:val="28"/>
          <w:szCs w:val="28"/>
        </w:rPr>
        <w:t xml:space="preserve"> з іншого</w:t>
      </w:r>
      <w:r>
        <w:rPr>
          <w:rFonts w:ascii="Times New Roman" w:hAnsi="Times New Roman" w:cs="Times New Roman"/>
          <w:color w:val="000000" w:themeColor="text1"/>
          <w:sz w:val="28"/>
          <w:szCs w:val="28"/>
        </w:rPr>
        <w:t xml:space="preserve"> – </w:t>
      </w:r>
      <w:r w:rsidR="00354C71" w:rsidRPr="00115C82">
        <w:rPr>
          <w:rFonts w:ascii="Times New Roman" w:hAnsi="Times New Roman" w:cs="Times New Roman"/>
          <w:color w:val="000000" w:themeColor="text1"/>
          <w:sz w:val="28"/>
          <w:szCs w:val="28"/>
        </w:rPr>
        <w:t xml:space="preserve">стрімке зростання </w:t>
      </w:r>
      <w:r>
        <w:rPr>
          <w:rFonts w:ascii="Times New Roman" w:hAnsi="Times New Roman" w:cs="Times New Roman"/>
          <w:color w:val="000000" w:themeColor="text1"/>
          <w:sz w:val="28"/>
          <w:szCs w:val="28"/>
        </w:rPr>
        <w:t xml:space="preserve">кредитних ресурсів </w:t>
      </w:r>
      <w:r w:rsidR="00354C71" w:rsidRPr="00115C82">
        <w:rPr>
          <w:rFonts w:ascii="Times New Roman" w:hAnsi="Times New Roman" w:cs="Times New Roman"/>
          <w:color w:val="000000" w:themeColor="text1"/>
          <w:sz w:val="28"/>
          <w:szCs w:val="28"/>
        </w:rPr>
        <w:t xml:space="preserve">не могло </w:t>
      </w:r>
      <w:r>
        <w:rPr>
          <w:rFonts w:ascii="Times New Roman" w:hAnsi="Times New Roman" w:cs="Times New Roman"/>
          <w:color w:val="000000" w:themeColor="text1"/>
          <w:sz w:val="28"/>
          <w:szCs w:val="28"/>
        </w:rPr>
        <w:t xml:space="preserve">не позначитись на зниженні стабільності та посиленні «спекулятивності» роботи </w:t>
      </w:r>
      <w:r w:rsidR="00354C71" w:rsidRPr="00115C82">
        <w:rPr>
          <w:rFonts w:ascii="Times New Roman" w:hAnsi="Times New Roman" w:cs="Times New Roman"/>
          <w:color w:val="000000" w:themeColor="text1"/>
          <w:sz w:val="28"/>
          <w:szCs w:val="28"/>
        </w:rPr>
        <w:t xml:space="preserve">фінансового сектору, </w:t>
      </w:r>
      <w:r>
        <w:rPr>
          <w:rFonts w:ascii="Times New Roman" w:hAnsi="Times New Roman" w:cs="Times New Roman"/>
          <w:color w:val="000000" w:themeColor="text1"/>
          <w:sz w:val="28"/>
          <w:szCs w:val="28"/>
        </w:rPr>
        <w:t xml:space="preserve">що </w:t>
      </w:r>
      <w:r w:rsidR="00354C71" w:rsidRPr="00115C82">
        <w:rPr>
          <w:rFonts w:ascii="Times New Roman" w:hAnsi="Times New Roman" w:cs="Times New Roman"/>
          <w:color w:val="000000" w:themeColor="text1"/>
          <w:sz w:val="28"/>
          <w:szCs w:val="28"/>
        </w:rPr>
        <w:t>не відповідал</w:t>
      </w:r>
      <w:r>
        <w:rPr>
          <w:rFonts w:ascii="Times New Roman" w:hAnsi="Times New Roman" w:cs="Times New Roman"/>
          <w:color w:val="000000" w:themeColor="text1"/>
          <w:sz w:val="28"/>
          <w:szCs w:val="28"/>
        </w:rPr>
        <w:t>о</w:t>
      </w:r>
      <w:r w:rsidR="00354C71" w:rsidRPr="00115C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354C71" w:rsidRPr="00115C82">
        <w:rPr>
          <w:rFonts w:ascii="Times New Roman" w:hAnsi="Times New Roman" w:cs="Times New Roman"/>
          <w:color w:val="000000" w:themeColor="text1"/>
          <w:sz w:val="28"/>
          <w:szCs w:val="28"/>
        </w:rPr>
        <w:t xml:space="preserve">имогам </w:t>
      </w:r>
      <w:r>
        <w:rPr>
          <w:rFonts w:ascii="Times New Roman" w:hAnsi="Times New Roman" w:cs="Times New Roman"/>
          <w:color w:val="000000" w:themeColor="text1"/>
          <w:sz w:val="28"/>
          <w:szCs w:val="28"/>
        </w:rPr>
        <w:t xml:space="preserve">гарантування стабільного функціонування </w:t>
      </w:r>
      <w:proofErr w:type="spellStart"/>
      <w:r>
        <w:rPr>
          <w:rFonts w:ascii="Times New Roman" w:hAnsi="Times New Roman" w:cs="Times New Roman"/>
          <w:color w:val="000000" w:themeColor="text1"/>
          <w:sz w:val="28"/>
          <w:szCs w:val="28"/>
        </w:rPr>
        <w:t>національго</w:t>
      </w:r>
      <w:proofErr w:type="spellEnd"/>
      <w:r>
        <w:rPr>
          <w:rFonts w:ascii="Times New Roman" w:hAnsi="Times New Roman" w:cs="Times New Roman"/>
          <w:color w:val="000000" w:themeColor="text1"/>
          <w:sz w:val="28"/>
          <w:szCs w:val="28"/>
        </w:rPr>
        <w:t xml:space="preserve"> </w:t>
      </w:r>
      <w:r w:rsidR="00354C71" w:rsidRPr="00115C82">
        <w:rPr>
          <w:rFonts w:ascii="Times New Roman" w:hAnsi="Times New Roman" w:cs="Times New Roman"/>
          <w:color w:val="000000" w:themeColor="text1"/>
          <w:sz w:val="28"/>
          <w:szCs w:val="28"/>
        </w:rPr>
        <w:t>господарства.  Період економічного зростання</w:t>
      </w:r>
      <w:r>
        <w:rPr>
          <w:rFonts w:ascii="Times New Roman" w:hAnsi="Times New Roman" w:cs="Times New Roman"/>
          <w:color w:val="000000" w:themeColor="text1"/>
          <w:sz w:val="28"/>
          <w:szCs w:val="28"/>
        </w:rPr>
        <w:t xml:space="preserve"> (до 2007 р.)</w:t>
      </w:r>
      <w:r w:rsidR="00354C71" w:rsidRPr="00115C82">
        <w:rPr>
          <w:rFonts w:ascii="Times New Roman" w:hAnsi="Times New Roman" w:cs="Times New Roman"/>
          <w:color w:val="000000" w:themeColor="text1"/>
          <w:sz w:val="28"/>
          <w:szCs w:val="28"/>
        </w:rPr>
        <w:t xml:space="preserve">, так </w:t>
      </w:r>
      <w:proofErr w:type="spellStart"/>
      <w:r w:rsidR="00354C71" w:rsidRPr="00115C82">
        <w:rPr>
          <w:rFonts w:ascii="Times New Roman" w:hAnsi="Times New Roman" w:cs="Times New Roman"/>
          <w:color w:val="000000" w:themeColor="text1"/>
          <w:sz w:val="28"/>
          <w:szCs w:val="28"/>
        </w:rPr>
        <w:t>званий</w:t>
      </w:r>
      <w:proofErr w:type="spellEnd"/>
      <w:r w:rsidR="00354C71" w:rsidRPr="00115C82">
        <w:rPr>
          <w:rFonts w:ascii="Times New Roman" w:hAnsi="Times New Roman" w:cs="Times New Roman"/>
          <w:color w:val="000000" w:themeColor="text1"/>
          <w:sz w:val="28"/>
          <w:szCs w:val="28"/>
        </w:rPr>
        <w:t xml:space="preserve"> період «</w:t>
      </w:r>
      <w:proofErr w:type="spellStart"/>
      <w:r w:rsidR="00354C71" w:rsidRPr="00115C82">
        <w:rPr>
          <w:rFonts w:ascii="Times New Roman" w:hAnsi="Times New Roman" w:cs="Times New Roman"/>
          <w:color w:val="000000" w:themeColor="text1"/>
          <w:sz w:val="28"/>
          <w:szCs w:val="28"/>
        </w:rPr>
        <w:t>бульбашкової</w:t>
      </w:r>
      <w:proofErr w:type="spellEnd"/>
      <w:r w:rsidR="00354C71" w:rsidRPr="00115C82">
        <w:rPr>
          <w:rFonts w:ascii="Times New Roman" w:hAnsi="Times New Roman" w:cs="Times New Roman"/>
          <w:color w:val="000000" w:themeColor="text1"/>
          <w:sz w:val="28"/>
          <w:szCs w:val="28"/>
        </w:rPr>
        <w:t xml:space="preserve"> економіки», </w:t>
      </w:r>
      <w:r>
        <w:rPr>
          <w:rFonts w:ascii="Times New Roman" w:hAnsi="Times New Roman" w:cs="Times New Roman"/>
          <w:color w:val="000000" w:themeColor="text1"/>
          <w:sz w:val="28"/>
          <w:szCs w:val="28"/>
        </w:rPr>
        <w:t xml:space="preserve">як правило, </w:t>
      </w:r>
      <w:proofErr w:type="spellStart"/>
      <w:r w:rsidR="00354C71" w:rsidRPr="00115C82">
        <w:rPr>
          <w:rFonts w:ascii="Times New Roman" w:hAnsi="Times New Roman" w:cs="Times New Roman"/>
          <w:color w:val="000000" w:themeColor="text1"/>
          <w:sz w:val="28"/>
          <w:szCs w:val="28"/>
        </w:rPr>
        <w:t>грунтувався</w:t>
      </w:r>
      <w:proofErr w:type="spellEnd"/>
      <w:r w:rsidR="00354C71" w:rsidRPr="00115C82">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зростанні </w:t>
      </w:r>
      <w:r w:rsidR="00354C71" w:rsidRPr="00115C82">
        <w:rPr>
          <w:rFonts w:ascii="Times New Roman" w:hAnsi="Times New Roman" w:cs="Times New Roman"/>
          <w:color w:val="000000" w:themeColor="text1"/>
          <w:sz w:val="28"/>
          <w:szCs w:val="28"/>
        </w:rPr>
        <w:t>внутрішньо</w:t>
      </w:r>
      <w:r>
        <w:rPr>
          <w:rFonts w:ascii="Times New Roman" w:hAnsi="Times New Roman" w:cs="Times New Roman"/>
          <w:color w:val="000000" w:themeColor="text1"/>
          <w:sz w:val="28"/>
          <w:szCs w:val="28"/>
        </w:rPr>
        <w:t>го попиту домогосподарств у</w:t>
      </w:r>
      <w:r w:rsidR="00354C71" w:rsidRPr="00115C82">
        <w:rPr>
          <w:rFonts w:ascii="Times New Roman" w:hAnsi="Times New Roman" w:cs="Times New Roman"/>
          <w:color w:val="000000" w:themeColor="text1"/>
          <w:sz w:val="28"/>
          <w:szCs w:val="28"/>
        </w:rPr>
        <w:t xml:space="preserve"> секторі приватного житлового будівництва, </w:t>
      </w:r>
      <w:r>
        <w:rPr>
          <w:rFonts w:ascii="Times New Roman" w:hAnsi="Times New Roman" w:cs="Times New Roman"/>
          <w:color w:val="000000" w:themeColor="text1"/>
          <w:sz w:val="28"/>
          <w:szCs w:val="28"/>
        </w:rPr>
        <w:t xml:space="preserve">«бумом» </w:t>
      </w:r>
      <w:proofErr w:type="spellStart"/>
      <w:r w:rsidR="00354C71" w:rsidRPr="00115C82">
        <w:rPr>
          <w:rFonts w:ascii="Times New Roman" w:hAnsi="Times New Roman" w:cs="Times New Roman"/>
          <w:color w:val="000000" w:themeColor="text1"/>
          <w:sz w:val="28"/>
          <w:szCs w:val="28"/>
        </w:rPr>
        <w:t>інвестицій</w:t>
      </w:r>
      <w:proofErr w:type="spellEnd"/>
      <w:r w:rsidR="00354C71" w:rsidRPr="00115C82">
        <w:rPr>
          <w:rFonts w:ascii="Times New Roman" w:hAnsi="Times New Roman" w:cs="Times New Roman"/>
          <w:color w:val="000000" w:themeColor="text1"/>
          <w:sz w:val="28"/>
          <w:szCs w:val="28"/>
        </w:rPr>
        <w:t xml:space="preserve"> в обладнання та устаткування, </w:t>
      </w:r>
      <w:r w:rsidR="004D4B5A">
        <w:rPr>
          <w:rFonts w:ascii="Times New Roman" w:hAnsi="Times New Roman" w:cs="Times New Roman"/>
          <w:color w:val="000000" w:themeColor="text1"/>
          <w:sz w:val="28"/>
          <w:szCs w:val="28"/>
        </w:rPr>
        <w:t xml:space="preserve">у сферу </w:t>
      </w:r>
      <w:r w:rsidR="00354C71" w:rsidRPr="00115C82">
        <w:rPr>
          <w:rFonts w:ascii="Times New Roman" w:hAnsi="Times New Roman" w:cs="Times New Roman"/>
          <w:color w:val="000000" w:themeColor="text1"/>
          <w:sz w:val="28"/>
          <w:szCs w:val="28"/>
        </w:rPr>
        <w:t>високотехнологічного виробництва. Значна частка внутрішнього попиту, між іншим, задовольнялася за рахунок дешевих позик і кредитів, джерелом яких були доходи від спекуля</w:t>
      </w:r>
      <w:r w:rsidR="004D4B5A">
        <w:rPr>
          <w:rFonts w:ascii="Times New Roman" w:hAnsi="Times New Roman" w:cs="Times New Roman"/>
          <w:color w:val="000000" w:themeColor="text1"/>
          <w:sz w:val="28"/>
          <w:szCs w:val="28"/>
        </w:rPr>
        <w:t xml:space="preserve">тивних операцій на ринках </w:t>
      </w:r>
      <w:r w:rsidR="00354C71" w:rsidRPr="00115C82">
        <w:rPr>
          <w:rFonts w:ascii="Times New Roman" w:hAnsi="Times New Roman" w:cs="Times New Roman"/>
          <w:color w:val="000000" w:themeColor="text1"/>
          <w:sz w:val="28"/>
          <w:szCs w:val="28"/>
        </w:rPr>
        <w:t>нерухом</w:t>
      </w:r>
      <w:r w:rsidR="004D4B5A">
        <w:rPr>
          <w:rFonts w:ascii="Times New Roman" w:hAnsi="Times New Roman" w:cs="Times New Roman"/>
          <w:color w:val="000000" w:themeColor="text1"/>
          <w:sz w:val="28"/>
          <w:szCs w:val="28"/>
        </w:rPr>
        <w:t xml:space="preserve">ості, </w:t>
      </w:r>
      <w:r w:rsidR="00354C71" w:rsidRPr="00115C82">
        <w:rPr>
          <w:rFonts w:ascii="Times New Roman" w:hAnsi="Times New Roman" w:cs="Times New Roman"/>
          <w:color w:val="000000" w:themeColor="text1"/>
          <w:sz w:val="28"/>
          <w:szCs w:val="28"/>
        </w:rPr>
        <w:t>цінни</w:t>
      </w:r>
      <w:r w:rsidR="004D4B5A">
        <w:rPr>
          <w:rFonts w:ascii="Times New Roman" w:hAnsi="Times New Roman" w:cs="Times New Roman"/>
          <w:color w:val="000000" w:themeColor="text1"/>
          <w:sz w:val="28"/>
          <w:szCs w:val="28"/>
        </w:rPr>
        <w:t>х</w:t>
      </w:r>
      <w:r w:rsidR="00354C71" w:rsidRPr="00115C82">
        <w:rPr>
          <w:rFonts w:ascii="Times New Roman" w:hAnsi="Times New Roman" w:cs="Times New Roman"/>
          <w:color w:val="000000" w:themeColor="text1"/>
          <w:sz w:val="28"/>
          <w:szCs w:val="28"/>
        </w:rPr>
        <w:t xml:space="preserve"> папер</w:t>
      </w:r>
      <w:r w:rsidR="004D4B5A">
        <w:rPr>
          <w:rFonts w:ascii="Times New Roman" w:hAnsi="Times New Roman" w:cs="Times New Roman"/>
          <w:color w:val="000000" w:themeColor="text1"/>
          <w:sz w:val="28"/>
          <w:szCs w:val="28"/>
        </w:rPr>
        <w:t>ів</w:t>
      </w:r>
      <w:r w:rsidR="00354C71" w:rsidRPr="00115C82">
        <w:rPr>
          <w:rFonts w:ascii="Times New Roman" w:hAnsi="Times New Roman" w:cs="Times New Roman"/>
          <w:color w:val="000000" w:themeColor="text1"/>
          <w:sz w:val="28"/>
          <w:szCs w:val="28"/>
        </w:rPr>
        <w:t xml:space="preserve"> та </w:t>
      </w:r>
      <w:r w:rsidR="004D4B5A">
        <w:rPr>
          <w:rFonts w:ascii="Times New Roman" w:hAnsi="Times New Roman" w:cs="Times New Roman"/>
          <w:color w:val="000000" w:themeColor="text1"/>
          <w:sz w:val="28"/>
          <w:szCs w:val="28"/>
        </w:rPr>
        <w:t xml:space="preserve">на ринку </w:t>
      </w:r>
      <w:r w:rsidR="00354C71" w:rsidRPr="00115C82">
        <w:rPr>
          <w:rFonts w:ascii="Times New Roman" w:hAnsi="Times New Roman" w:cs="Times New Roman"/>
          <w:color w:val="000000" w:themeColor="text1"/>
          <w:sz w:val="28"/>
          <w:szCs w:val="28"/>
        </w:rPr>
        <w:t>земл</w:t>
      </w:r>
      <w:r w:rsidR="004D4B5A">
        <w:rPr>
          <w:rFonts w:ascii="Times New Roman" w:hAnsi="Times New Roman" w:cs="Times New Roman"/>
          <w:color w:val="000000" w:themeColor="text1"/>
          <w:sz w:val="28"/>
          <w:szCs w:val="28"/>
        </w:rPr>
        <w:t>і</w:t>
      </w:r>
      <w:r w:rsidR="00354C71" w:rsidRPr="00115C82">
        <w:rPr>
          <w:rFonts w:ascii="Times New Roman" w:hAnsi="Times New Roman" w:cs="Times New Roman"/>
          <w:color w:val="000000" w:themeColor="text1"/>
          <w:sz w:val="28"/>
          <w:szCs w:val="28"/>
        </w:rPr>
        <w:t xml:space="preserve">. </w:t>
      </w:r>
      <w:r w:rsidR="004D4B5A">
        <w:rPr>
          <w:rFonts w:ascii="Times New Roman" w:hAnsi="Times New Roman" w:cs="Times New Roman"/>
          <w:color w:val="000000" w:themeColor="text1"/>
          <w:sz w:val="28"/>
          <w:szCs w:val="28"/>
        </w:rPr>
        <w:t>Світова фінансова економічна криза (2008 – 2009 рр.) призвела до «</w:t>
      </w:r>
      <w:r w:rsidR="00354C71" w:rsidRPr="00115C82">
        <w:rPr>
          <w:rFonts w:ascii="Times New Roman" w:hAnsi="Times New Roman" w:cs="Times New Roman"/>
          <w:color w:val="000000" w:themeColor="text1"/>
          <w:sz w:val="28"/>
          <w:szCs w:val="28"/>
        </w:rPr>
        <w:t>обвалу</w:t>
      </w:r>
      <w:r w:rsidR="004D4B5A">
        <w:rPr>
          <w:rFonts w:ascii="Times New Roman" w:hAnsi="Times New Roman" w:cs="Times New Roman"/>
          <w:color w:val="000000" w:themeColor="text1"/>
          <w:sz w:val="28"/>
          <w:szCs w:val="28"/>
        </w:rPr>
        <w:t>»</w:t>
      </w:r>
      <w:r w:rsidR="00354C71" w:rsidRPr="00115C82">
        <w:rPr>
          <w:rFonts w:ascii="Times New Roman" w:hAnsi="Times New Roman" w:cs="Times New Roman"/>
          <w:color w:val="000000" w:themeColor="text1"/>
          <w:sz w:val="28"/>
          <w:szCs w:val="28"/>
        </w:rPr>
        <w:t xml:space="preserve"> ринку цінних паперів, </w:t>
      </w:r>
      <w:r w:rsidR="004D4B5A">
        <w:rPr>
          <w:rFonts w:ascii="Times New Roman" w:hAnsi="Times New Roman" w:cs="Times New Roman"/>
          <w:color w:val="000000" w:themeColor="text1"/>
          <w:sz w:val="28"/>
          <w:szCs w:val="28"/>
        </w:rPr>
        <w:t xml:space="preserve">до банкрутства </w:t>
      </w:r>
      <w:proofErr w:type="spellStart"/>
      <w:r w:rsidR="004D4B5A">
        <w:rPr>
          <w:rFonts w:ascii="Times New Roman" w:hAnsi="Times New Roman" w:cs="Times New Roman"/>
          <w:color w:val="000000" w:themeColor="text1"/>
          <w:sz w:val="28"/>
          <w:szCs w:val="28"/>
        </w:rPr>
        <w:t>багатьої</w:t>
      </w:r>
      <w:proofErr w:type="spellEnd"/>
      <w:r w:rsidR="004D4B5A">
        <w:rPr>
          <w:rFonts w:ascii="Times New Roman" w:hAnsi="Times New Roman" w:cs="Times New Roman"/>
          <w:color w:val="000000" w:themeColor="text1"/>
          <w:sz w:val="28"/>
          <w:szCs w:val="28"/>
        </w:rPr>
        <w:t xml:space="preserve"> комерційних банків і «</w:t>
      </w:r>
      <w:r w:rsidR="00354C71" w:rsidRPr="00115C82">
        <w:rPr>
          <w:rFonts w:ascii="Times New Roman" w:hAnsi="Times New Roman" w:cs="Times New Roman"/>
          <w:color w:val="000000" w:themeColor="text1"/>
          <w:sz w:val="28"/>
          <w:szCs w:val="28"/>
        </w:rPr>
        <w:t>ланцюговою реакцією</w:t>
      </w:r>
      <w:r w:rsidR="004D4B5A">
        <w:rPr>
          <w:rFonts w:ascii="Times New Roman" w:hAnsi="Times New Roman" w:cs="Times New Roman"/>
          <w:color w:val="000000" w:themeColor="text1"/>
          <w:sz w:val="28"/>
          <w:szCs w:val="28"/>
        </w:rPr>
        <w:t>»</w:t>
      </w:r>
      <w:r w:rsidR="00354C71" w:rsidRPr="00115C82">
        <w:rPr>
          <w:rFonts w:ascii="Times New Roman" w:hAnsi="Times New Roman" w:cs="Times New Roman"/>
          <w:color w:val="000000" w:themeColor="text1"/>
          <w:sz w:val="28"/>
          <w:szCs w:val="28"/>
        </w:rPr>
        <w:t xml:space="preserve"> захопил</w:t>
      </w:r>
      <w:r w:rsidR="004D4B5A">
        <w:rPr>
          <w:rFonts w:ascii="Times New Roman" w:hAnsi="Times New Roman" w:cs="Times New Roman"/>
          <w:color w:val="000000" w:themeColor="text1"/>
          <w:sz w:val="28"/>
          <w:szCs w:val="28"/>
        </w:rPr>
        <w:t>а</w:t>
      </w:r>
      <w:r w:rsidR="00354C71" w:rsidRPr="00115C82">
        <w:rPr>
          <w:rFonts w:ascii="Times New Roman" w:hAnsi="Times New Roman" w:cs="Times New Roman"/>
          <w:color w:val="000000" w:themeColor="text1"/>
          <w:sz w:val="28"/>
          <w:szCs w:val="28"/>
        </w:rPr>
        <w:t xml:space="preserve"> і </w:t>
      </w:r>
      <w:r w:rsidR="004D4B5A">
        <w:rPr>
          <w:rFonts w:ascii="Times New Roman" w:hAnsi="Times New Roman" w:cs="Times New Roman"/>
          <w:color w:val="000000" w:themeColor="text1"/>
          <w:sz w:val="28"/>
          <w:szCs w:val="28"/>
        </w:rPr>
        <w:t xml:space="preserve">світові </w:t>
      </w:r>
      <w:r w:rsidR="00354C71" w:rsidRPr="00115C82">
        <w:rPr>
          <w:rFonts w:ascii="Times New Roman" w:hAnsi="Times New Roman" w:cs="Times New Roman"/>
          <w:color w:val="000000" w:themeColor="text1"/>
          <w:sz w:val="28"/>
          <w:szCs w:val="28"/>
        </w:rPr>
        <w:t xml:space="preserve">ринки нерухомості та землі. </w:t>
      </w:r>
      <w:r w:rsidR="004D4B5A">
        <w:rPr>
          <w:rFonts w:ascii="Times New Roman" w:hAnsi="Times New Roman" w:cs="Times New Roman"/>
          <w:color w:val="000000" w:themeColor="text1"/>
          <w:sz w:val="28"/>
          <w:szCs w:val="28"/>
        </w:rPr>
        <w:t>У посткризовий період переважна більшість розвинутих країн світу на державному рівні вводять заходи жорсткого державного (у т. ч. і  адміністративного) контролю за національним банківським капіталом, за національним ринком кредитних ресурсів. Зокрема, зростають вимоги центральних фінансових регуляторів до збільшення розміру «резервних фондів» комерційних банків, перевіряється стан та наявність «ризикованих» банківських кредитів, регулярно проводяться «стрес-тестування» національних банків. Як наслідок – посилюється і регулювання національного бізнесу. Все це, логічно, призводить до уповільнення розвитку бізнесу, але ніяк не позначається на соціальних, управлінських, військових, державотворчих, зовнішньоекономічних зобов'язаннях самої держави. Витрати країн світу (у</w:t>
      </w:r>
      <w:r w:rsidR="0034592A">
        <w:rPr>
          <w:rFonts w:ascii="Times New Roman" w:hAnsi="Times New Roman" w:cs="Times New Roman"/>
          <w:color w:val="000000" w:themeColor="text1"/>
          <w:sz w:val="28"/>
          <w:szCs w:val="28"/>
        </w:rPr>
        <w:t xml:space="preserve"> тому числі – і розвинутих країн) неухильно зростають. Як наслідок – нестача власних фінансових надходжень обумовлює потребу зовнішніх кредитів. На </w:t>
      </w:r>
      <w:r w:rsidR="0034592A">
        <w:rPr>
          <w:rFonts w:ascii="Times New Roman" w:hAnsi="Times New Roman" w:cs="Times New Roman"/>
          <w:color w:val="000000" w:themeColor="text1"/>
          <w:sz w:val="28"/>
          <w:szCs w:val="28"/>
        </w:rPr>
        <w:lastRenderedPageBreak/>
        <w:t xml:space="preserve">рис. </w:t>
      </w:r>
      <w:r w:rsidR="00354C71" w:rsidRPr="00115C82">
        <w:rPr>
          <w:rFonts w:ascii="Times New Roman" w:hAnsi="Times New Roman" w:cs="Times New Roman"/>
          <w:color w:val="000000" w:themeColor="text1"/>
          <w:sz w:val="28"/>
          <w:szCs w:val="28"/>
        </w:rPr>
        <w:t xml:space="preserve">2 </w:t>
      </w:r>
      <w:r w:rsidR="0034592A">
        <w:rPr>
          <w:rFonts w:ascii="Times New Roman" w:hAnsi="Times New Roman" w:cs="Times New Roman"/>
          <w:color w:val="000000" w:themeColor="text1"/>
          <w:sz w:val="28"/>
          <w:szCs w:val="28"/>
        </w:rPr>
        <w:t xml:space="preserve">представлена </w:t>
      </w:r>
      <w:r w:rsidR="00354C71" w:rsidRPr="00115C82">
        <w:rPr>
          <w:rFonts w:ascii="Times New Roman" w:hAnsi="Times New Roman" w:cs="Times New Roman"/>
          <w:color w:val="000000" w:themeColor="text1"/>
          <w:sz w:val="28"/>
          <w:szCs w:val="28"/>
        </w:rPr>
        <w:t>динамік</w:t>
      </w:r>
      <w:r w:rsidR="0034592A">
        <w:rPr>
          <w:rFonts w:ascii="Times New Roman" w:hAnsi="Times New Roman" w:cs="Times New Roman"/>
          <w:color w:val="000000" w:themeColor="text1"/>
          <w:sz w:val="28"/>
          <w:szCs w:val="28"/>
        </w:rPr>
        <w:t>а</w:t>
      </w:r>
      <w:r w:rsidR="00354C71" w:rsidRPr="00115C82">
        <w:rPr>
          <w:rFonts w:ascii="Times New Roman" w:hAnsi="Times New Roman" w:cs="Times New Roman"/>
          <w:color w:val="000000" w:themeColor="text1"/>
          <w:sz w:val="28"/>
          <w:szCs w:val="28"/>
        </w:rPr>
        <w:t xml:space="preserve"> зовнішнього боргу Японії </w:t>
      </w:r>
      <w:r w:rsidR="0034592A">
        <w:rPr>
          <w:rFonts w:ascii="Times New Roman" w:hAnsi="Times New Roman" w:cs="Times New Roman"/>
          <w:color w:val="000000" w:themeColor="text1"/>
          <w:sz w:val="28"/>
          <w:szCs w:val="28"/>
        </w:rPr>
        <w:t xml:space="preserve">та Франції за період з 2010 по 2017 рр. </w:t>
      </w:r>
    </w:p>
    <w:p w:rsidR="00354C71" w:rsidRPr="00115C82" w:rsidRDefault="00354C71" w:rsidP="00354C71">
      <w:pPr>
        <w:spacing w:line="360" w:lineRule="auto"/>
        <w:jc w:val="both"/>
        <w:rPr>
          <w:rFonts w:ascii="Times New Roman" w:hAnsi="Times New Roman" w:cs="Times New Roman"/>
          <w:color w:val="000000" w:themeColor="text1"/>
          <w:sz w:val="28"/>
          <w:szCs w:val="28"/>
        </w:rPr>
      </w:pPr>
      <w:r w:rsidRPr="00115C82">
        <w:rPr>
          <w:rFonts w:ascii="Times New Roman" w:hAnsi="Times New Roman" w:cs="Times New Roman"/>
          <w:noProof/>
          <w:color w:val="000000" w:themeColor="text1"/>
          <w:sz w:val="28"/>
          <w:szCs w:val="28"/>
          <w:lang w:val="ru-RU"/>
        </w:rPr>
        <w:drawing>
          <wp:inline distT="0" distB="0" distL="0" distR="0">
            <wp:extent cx="2738755" cy="3168322"/>
            <wp:effectExtent l="0" t="0" r="4445"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15C82">
        <w:rPr>
          <w:rFonts w:ascii="Times New Roman" w:hAnsi="Times New Roman" w:cs="Times New Roman"/>
          <w:noProof/>
          <w:sz w:val="28"/>
          <w:szCs w:val="28"/>
          <w:lang w:val="ru-RU"/>
        </w:rPr>
        <w:drawing>
          <wp:inline distT="0" distB="0" distL="0" distR="0">
            <wp:extent cx="2712720" cy="3158183"/>
            <wp:effectExtent l="0" t="0" r="508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7F03" w:rsidRDefault="004A7F03" w:rsidP="00354C71">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Рис. 2.а                                                    Рис.2.б</w:t>
      </w:r>
    </w:p>
    <w:p w:rsidR="00354C71" w:rsidRPr="00115C82" w:rsidRDefault="00354C71" w:rsidP="00354C71">
      <w:pPr>
        <w:spacing w:line="360" w:lineRule="auto"/>
        <w:jc w:val="both"/>
        <w:rPr>
          <w:rFonts w:ascii="Times New Roman" w:hAnsi="Times New Roman" w:cs="Times New Roman"/>
          <w:b/>
          <w:color w:val="000000" w:themeColor="text1"/>
          <w:sz w:val="28"/>
          <w:szCs w:val="28"/>
        </w:rPr>
      </w:pPr>
      <w:r w:rsidRPr="00115C82">
        <w:rPr>
          <w:rFonts w:ascii="Times New Roman" w:hAnsi="Times New Roman" w:cs="Times New Roman"/>
          <w:b/>
          <w:color w:val="000000" w:themeColor="text1"/>
          <w:sz w:val="28"/>
          <w:szCs w:val="28"/>
        </w:rPr>
        <w:t>Рис</w:t>
      </w:r>
      <w:r w:rsidR="00EE15B0">
        <w:rPr>
          <w:rFonts w:ascii="Times New Roman" w:hAnsi="Times New Roman" w:cs="Times New Roman"/>
          <w:b/>
          <w:color w:val="000000" w:themeColor="text1"/>
          <w:sz w:val="28"/>
          <w:szCs w:val="28"/>
        </w:rPr>
        <w:t xml:space="preserve">. </w:t>
      </w:r>
      <w:r w:rsidRPr="00115C82">
        <w:rPr>
          <w:rFonts w:ascii="Times New Roman" w:hAnsi="Times New Roman" w:cs="Times New Roman"/>
          <w:b/>
          <w:color w:val="000000" w:themeColor="text1"/>
          <w:sz w:val="28"/>
          <w:szCs w:val="28"/>
        </w:rPr>
        <w:t xml:space="preserve">2 Зовнішній борг Японії </w:t>
      </w:r>
      <w:r w:rsidR="004A7F03">
        <w:rPr>
          <w:rFonts w:ascii="Times New Roman" w:hAnsi="Times New Roman" w:cs="Times New Roman"/>
          <w:b/>
          <w:color w:val="000000" w:themeColor="text1"/>
          <w:sz w:val="28"/>
          <w:szCs w:val="28"/>
        </w:rPr>
        <w:t xml:space="preserve">(2.а) </w:t>
      </w:r>
      <w:r w:rsidRPr="00115C82">
        <w:rPr>
          <w:rFonts w:ascii="Times New Roman" w:hAnsi="Times New Roman" w:cs="Times New Roman"/>
          <w:b/>
          <w:color w:val="000000" w:themeColor="text1"/>
          <w:sz w:val="28"/>
          <w:szCs w:val="28"/>
        </w:rPr>
        <w:t xml:space="preserve">та Франції </w:t>
      </w:r>
      <w:r w:rsidR="004A7F03">
        <w:rPr>
          <w:rFonts w:ascii="Times New Roman" w:hAnsi="Times New Roman" w:cs="Times New Roman"/>
          <w:b/>
          <w:color w:val="000000" w:themeColor="text1"/>
          <w:sz w:val="28"/>
          <w:szCs w:val="28"/>
        </w:rPr>
        <w:t xml:space="preserve">(2.б) </w:t>
      </w:r>
      <w:r w:rsidRPr="00115C82">
        <w:rPr>
          <w:rFonts w:ascii="Times New Roman" w:hAnsi="Times New Roman" w:cs="Times New Roman"/>
          <w:b/>
          <w:color w:val="000000" w:themeColor="text1"/>
          <w:sz w:val="28"/>
          <w:szCs w:val="28"/>
        </w:rPr>
        <w:t>за період 2010-2017 рр. (у відсотках</w:t>
      </w:r>
      <w:r w:rsidR="0034592A">
        <w:rPr>
          <w:rFonts w:ascii="Times New Roman" w:hAnsi="Times New Roman" w:cs="Times New Roman"/>
          <w:b/>
          <w:color w:val="000000" w:themeColor="text1"/>
          <w:sz w:val="28"/>
          <w:szCs w:val="28"/>
        </w:rPr>
        <w:t xml:space="preserve"> (%)</w:t>
      </w:r>
      <w:r w:rsidRPr="00115C82">
        <w:rPr>
          <w:rFonts w:ascii="Times New Roman" w:hAnsi="Times New Roman" w:cs="Times New Roman"/>
          <w:b/>
          <w:color w:val="000000" w:themeColor="text1"/>
          <w:sz w:val="28"/>
          <w:szCs w:val="28"/>
        </w:rPr>
        <w:t xml:space="preserve"> до В</w:t>
      </w:r>
      <w:r w:rsidR="0034592A">
        <w:rPr>
          <w:rFonts w:ascii="Times New Roman" w:hAnsi="Times New Roman" w:cs="Times New Roman"/>
          <w:b/>
          <w:color w:val="000000" w:themeColor="text1"/>
          <w:sz w:val="28"/>
          <w:szCs w:val="28"/>
        </w:rPr>
        <w:t>ВП)</w:t>
      </w:r>
      <w:r w:rsidRPr="00115C82">
        <w:rPr>
          <w:rFonts w:ascii="Times New Roman" w:hAnsi="Times New Roman" w:cs="Times New Roman"/>
          <w:b/>
          <w:color w:val="000000" w:themeColor="text1"/>
          <w:sz w:val="28"/>
          <w:szCs w:val="28"/>
        </w:rPr>
        <w:t>.</w:t>
      </w:r>
    </w:p>
    <w:p w:rsidR="00D96352" w:rsidRDefault="00D96352" w:rsidP="00D96352">
      <w:pPr>
        <w:spacing w:line="360" w:lineRule="auto"/>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Джерело: п</w:t>
      </w:r>
      <w:r w:rsidRPr="00115C82">
        <w:rPr>
          <w:rFonts w:ascii="Times New Roman" w:hAnsi="Times New Roman" w:cs="Times New Roman"/>
          <w:color w:val="000000" w:themeColor="text1"/>
          <w:sz w:val="28"/>
          <w:szCs w:val="28"/>
        </w:rPr>
        <w:t xml:space="preserve">обудовано </w:t>
      </w:r>
      <w:r>
        <w:rPr>
          <w:rFonts w:ascii="Times New Roman" w:hAnsi="Times New Roman" w:cs="Times New Roman"/>
          <w:color w:val="000000" w:themeColor="text1"/>
          <w:sz w:val="28"/>
          <w:szCs w:val="28"/>
        </w:rPr>
        <w:t>з</w:t>
      </w:r>
      <w:r w:rsidRPr="00115C82">
        <w:rPr>
          <w:rFonts w:ascii="Times New Roman" w:hAnsi="Times New Roman" w:cs="Times New Roman"/>
          <w:color w:val="000000" w:themeColor="text1"/>
          <w:sz w:val="28"/>
          <w:szCs w:val="28"/>
        </w:rPr>
        <w:t>а даними МВФ</w:t>
      </w:r>
      <w:r>
        <w:rPr>
          <w:rFonts w:ascii="Times New Roman" w:hAnsi="Times New Roman" w:cs="Times New Roman"/>
          <w:color w:val="000000" w:themeColor="text1"/>
          <w:sz w:val="28"/>
          <w:szCs w:val="28"/>
        </w:rPr>
        <w:t xml:space="preserve"> </w:t>
      </w:r>
      <w:r w:rsidRPr="007A384C">
        <w:rPr>
          <w:rFonts w:ascii="Times New Roman" w:hAnsi="Times New Roman" w:cs="Times New Roman"/>
          <w:noProof/>
          <w:color w:val="000000" w:themeColor="text1"/>
          <w:sz w:val="28"/>
          <w:szCs w:val="28"/>
        </w:rPr>
        <w:t>[10]</w:t>
      </w:r>
      <w:r>
        <w:rPr>
          <w:rFonts w:ascii="Times New Roman" w:hAnsi="Times New Roman" w:cs="Times New Roman"/>
          <w:noProof/>
          <w:color w:val="000000" w:themeColor="text1"/>
          <w:sz w:val="28"/>
          <w:szCs w:val="28"/>
        </w:rPr>
        <w:t>.</w:t>
      </w:r>
    </w:p>
    <w:p w:rsidR="00260672" w:rsidRPr="00115C82" w:rsidRDefault="00055B03" w:rsidP="005254DB">
      <w:pPr>
        <w:widowControl w:val="0"/>
        <w:autoSpaceDE w:val="0"/>
        <w:autoSpaceDN w:val="0"/>
        <w:adjustRightInd w:val="0"/>
        <w:spacing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Японія та Франція є розвинутими країнами світу. Для вирішення проблеми зовнішньої заборгованості ці країни орієнтуються на довгострокову стратегію, яка передбачає розвиток </w:t>
      </w:r>
      <w:proofErr w:type="spellStart"/>
      <w:r>
        <w:rPr>
          <w:rFonts w:ascii="Times New Roman" w:hAnsi="Times New Roman" w:cs="Times New Roman"/>
          <w:color w:val="000000" w:themeColor="text1"/>
          <w:sz w:val="28"/>
          <w:szCs w:val="28"/>
        </w:rPr>
        <w:t>нціонального</w:t>
      </w:r>
      <w:proofErr w:type="spellEnd"/>
      <w:r>
        <w:rPr>
          <w:rFonts w:ascii="Times New Roman" w:hAnsi="Times New Roman" w:cs="Times New Roman"/>
          <w:color w:val="000000" w:themeColor="text1"/>
          <w:sz w:val="28"/>
          <w:szCs w:val="28"/>
        </w:rPr>
        <w:t xml:space="preserve"> виробництва, збільшення експортного потенціалу країни та зростання конкурентоспроможності національного експорту на світових ринках за рахунок структурної перебудови національного виробництва (шляхом роботизації та інноваційного оновлення національного виробництва, кредитної підтримки технологічного оновлення виробництва та ін.). У Японії йдеться про масовий перехід до роботизації, а у Франції (як члена ЄС) до нового рівня «Індустрії 4.0». Така стратегія, безумовно, у довгостроковому періоді дозволить країнам легко розрахуватися із зовнішніми боргами та вийти на принципово новий, </w:t>
      </w:r>
      <w:proofErr w:type="spellStart"/>
      <w:r>
        <w:rPr>
          <w:rFonts w:ascii="Times New Roman" w:hAnsi="Times New Roman" w:cs="Times New Roman"/>
          <w:color w:val="000000" w:themeColor="text1"/>
          <w:sz w:val="28"/>
          <w:szCs w:val="28"/>
        </w:rPr>
        <w:t>постінноваційний</w:t>
      </w:r>
      <w:proofErr w:type="spellEnd"/>
      <w:r>
        <w:rPr>
          <w:rFonts w:ascii="Times New Roman" w:hAnsi="Times New Roman" w:cs="Times New Roman"/>
          <w:color w:val="000000" w:themeColor="text1"/>
          <w:sz w:val="28"/>
          <w:szCs w:val="28"/>
        </w:rPr>
        <w:t xml:space="preserve"> тип економічного зростання, заснований на роботизації, високих ІТ, цифровій економіці, NBIC</w:t>
      </w:r>
      <w:r w:rsidRPr="00055B0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технологіях, </w:t>
      </w:r>
      <w:r w:rsidRPr="00055B03">
        <w:rPr>
          <w:rFonts w:ascii="Times New Roman" w:hAnsi="Times New Roman" w:cs="Times New Roman"/>
          <w:color w:val="000000" w:themeColor="text1"/>
          <w:sz w:val="28"/>
          <w:szCs w:val="28"/>
          <w:lang w:val="ru-RU"/>
        </w:rPr>
        <w:t xml:space="preserve">на </w:t>
      </w:r>
      <w:proofErr w:type="spellStart"/>
      <w:r>
        <w:rPr>
          <w:rFonts w:ascii="Times New Roman" w:hAnsi="Times New Roman" w:cs="Times New Roman"/>
          <w:color w:val="000000" w:themeColor="text1"/>
          <w:sz w:val="28"/>
          <w:szCs w:val="28"/>
          <w:lang w:val="ru-RU"/>
        </w:rPr>
        <w:t>стрімкому</w:t>
      </w:r>
      <w:proofErr w:type="spellEnd"/>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зростанні продуктивності праці та </w:t>
      </w:r>
      <w:r>
        <w:rPr>
          <w:rFonts w:ascii="Times New Roman" w:hAnsi="Times New Roman" w:cs="Times New Roman"/>
          <w:color w:val="000000" w:themeColor="text1"/>
          <w:sz w:val="28"/>
          <w:szCs w:val="28"/>
        </w:rPr>
        <w:lastRenderedPageBreak/>
        <w:t>конкурентоспроможно</w:t>
      </w:r>
      <w:r w:rsidR="00260672">
        <w:rPr>
          <w:rFonts w:ascii="Times New Roman" w:hAnsi="Times New Roman" w:cs="Times New Roman"/>
          <w:color w:val="000000" w:themeColor="text1"/>
          <w:sz w:val="28"/>
          <w:szCs w:val="28"/>
        </w:rPr>
        <w:t xml:space="preserve">сті </w:t>
      </w:r>
      <w:r>
        <w:rPr>
          <w:rFonts w:ascii="Times New Roman" w:hAnsi="Times New Roman" w:cs="Times New Roman"/>
          <w:color w:val="000000" w:themeColor="text1"/>
          <w:sz w:val="28"/>
          <w:szCs w:val="28"/>
        </w:rPr>
        <w:t>експорт</w:t>
      </w:r>
      <w:r w:rsidR="00260672">
        <w:rPr>
          <w:rFonts w:ascii="Times New Roman" w:hAnsi="Times New Roman" w:cs="Times New Roman"/>
          <w:color w:val="000000" w:themeColor="text1"/>
          <w:sz w:val="28"/>
          <w:szCs w:val="28"/>
        </w:rPr>
        <w:t xml:space="preserve">у </w:t>
      </w:r>
      <w:r w:rsidR="00575DEB">
        <w:rPr>
          <w:rFonts w:ascii="Times New Roman" w:hAnsi="Times New Roman" w:cs="Times New Roman"/>
          <w:noProof/>
          <w:color w:val="000000" w:themeColor="text1"/>
          <w:sz w:val="28"/>
          <w:szCs w:val="28"/>
        </w:rPr>
        <w:t>[11</w:t>
      </w:r>
      <w:r w:rsidR="00260672" w:rsidRPr="00575DEB">
        <w:rPr>
          <w:rFonts w:ascii="Times New Roman" w:hAnsi="Times New Roman" w:cs="Times New Roman"/>
          <w:noProof/>
          <w:color w:val="000000" w:themeColor="text1"/>
          <w:sz w:val="28"/>
          <w:szCs w:val="28"/>
        </w:rPr>
        <w:t>].</w:t>
      </w:r>
    </w:p>
    <w:p w:rsidR="00193E5A" w:rsidRDefault="00260672" w:rsidP="005254DB">
      <w:pPr>
        <w:widowControl w:val="0"/>
        <w:autoSpaceDE w:val="0"/>
        <w:autoSpaceDN w:val="0"/>
        <w:adjustRightInd w:val="0"/>
        <w:spacing w:line="360" w:lineRule="auto"/>
        <w:ind w:firstLine="284"/>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 xml:space="preserve">Поряд з цим, вирішуючи питання розрахунку із зовнішніми боргами, розвинуті країни світу керуються рекомендаціями, що передбачають: </w:t>
      </w:r>
      <w:r w:rsidRPr="00260672">
        <w:rPr>
          <w:rFonts w:ascii="Times New Roman" w:hAnsi="Times New Roman" w:cs="Times New Roman"/>
          <w:sz w:val="28"/>
          <w:szCs w:val="28"/>
        </w:rPr>
        <w:t xml:space="preserve">забезпечення постійного </w:t>
      </w:r>
      <w:r>
        <w:rPr>
          <w:rFonts w:ascii="Times New Roman" w:hAnsi="Times New Roman" w:cs="Times New Roman"/>
          <w:sz w:val="28"/>
          <w:szCs w:val="28"/>
        </w:rPr>
        <w:t xml:space="preserve">та вільного </w:t>
      </w:r>
      <w:r w:rsidRPr="00260672">
        <w:rPr>
          <w:rFonts w:ascii="Times New Roman" w:hAnsi="Times New Roman" w:cs="Times New Roman"/>
          <w:sz w:val="28"/>
          <w:szCs w:val="28"/>
        </w:rPr>
        <w:t xml:space="preserve">доступу </w:t>
      </w:r>
      <w:r>
        <w:rPr>
          <w:rFonts w:ascii="Times New Roman" w:hAnsi="Times New Roman" w:cs="Times New Roman"/>
          <w:sz w:val="28"/>
          <w:szCs w:val="28"/>
        </w:rPr>
        <w:t xml:space="preserve">країни (урядів країн) </w:t>
      </w:r>
      <w:r w:rsidRPr="00260672">
        <w:rPr>
          <w:rFonts w:ascii="Times New Roman" w:hAnsi="Times New Roman" w:cs="Times New Roman"/>
          <w:sz w:val="28"/>
          <w:szCs w:val="28"/>
        </w:rPr>
        <w:t xml:space="preserve">на міжнародні </w:t>
      </w:r>
      <w:r>
        <w:rPr>
          <w:rFonts w:ascii="Times New Roman" w:hAnsi="Times New Roman" w:cs="Times New Roman"/>
          <w:sz w:val="28"/>
          <w:szCs w:val="28"/>
        </w:rPr>
        <w:t>ринки капіталів</w:t>
      </w:r>
      <w:r w:rsidRPr="00260672">
        <w:rPr>
          <w:rFonts w:ascii="Times New Roman" w:hAnsi="Times New Roman" w:cs="Times New Roman"/>
          <w:sz w:val="28"/>
          <w:szCs w:val="28"/>
        </w:rPr>
        <w:t>;</w:t>
      </w:r>
      <w:r>
        <w:rPr>
          <w:rFonts w:ascii="Times New Roman" w:hAnsi="Times New Roman" w:cs="Times New Roman"/>
          <w:sz w:val="28"/>
          <w:szCs w:val="28"/>
        </w:rPr>
        <w:t xml:space="preserve"> запровадження державного контролю за </w:t>
      </w:r>
      <w:r w:rsidRPr="00115C82">
        <w:rPr>
          <w:rFonts w:ascii="Times New Roman" w:hAnsi="Times New Roman" w:cs="Times New Roman"/>
          <w:sz w:val="28"/>
          <w:szCs w:val="28"/>
        </w:rPr>
        <w:t>підтримк</w:t>
      </w:r>
      <w:r>
        <w:rPr>
          <w:rFonts w:ascii="Times New Roman" w:hAnsi="Times New Roman" w:cs="Times New Roman"/>
          <w:sz w:val="28"/>
          <w:szCs w:val="28"/>
        </w:rPr>
        <w:t>ою</w:t>
      </w:r>
      <w:r w:rsidRPr="00115C82">
        <w:rPr>
          <w:rFonts w:ascii="Times New Roman" w:hAnsi="Times New Roman" w:cs="Times New Roman"/>
          <w:sz w:val="28"/>
          <w:szCs w:val="28"/>
        </w:rPr>
        <w:t xml:space="preserve"> помірно</w:t>
      </w:r>
      <w:r>
        <w:rPr>
          <w:rFonts w:ascii="Times New Roman" w:hAnsi="Times New Roman" w:cs="Times New Roman"/>
          <w:sz w:val="28"/>
          <w:szCs w:val="28"/>
        </w:rPr>
        <w:t>го</w:t>
      </w:r>
      <w:r w:rsidRPr="00115C82">
        <w:rPr>
          <w:rFonts w:ascii="Times New Roman" w:hAnsi="Times New Roman" w:cs="Times New Roman"/>
          <w:sz w:val="28"/>
          <w:szCs w:val="28"/>
        </w:rPr>
        <w:t xml:space="preserve"> боргового навантаження, </w:t>
      </w:r>
      <w:r>
        <w:rPr>
          <w:rFonts w:ascii="Times New Roman" w:hAnsi="Times New Roman" w:cs="Times New Roman"/>
          <w:sz w:val="28"/>
          <w:szCs w:val="28"/>
        </w:rPr>
        <w:t>за оптимізацією</w:t>
      </w:r>
      <w:r w:rsidRPr="00115C82">
        <w:rPr>
          <w:rFonts w:ascii="Times New Roman" w:hAnsi="Times New Roman" w:cs="Times New Roman"/>
          <w:sz w:val="28"/>
          <w:szCs w:val="28"/>
        </w:rPr>
        <w:t xml:space="preserve"> обсягу і структури </w:t>
      </w:r>
      <w:r>
        <w:rPr>
          <w:rFonts w:ascii="Times New Roman" w:hAnsi="Times New Roman" w:cs="Times New Roman"/>
          <w:sz w:val="28"/>
          <w:szCs w:val="28"/>
        </w:rPr>
        <w:t xml:space="preserve">зовнішнього </w:t>
      </w:r>
      <w:r w:rsidRPr="00115C82">
        <w:rPr>
          <w:rFonts w:ascii="Times New Roman" w:hAnsi="Times New Roman" w:cs="Times New Roman"/>
          <w:sz w:val="28"/>
          <w:szCs w:val="28"/>
        </w:rPr>
        <w:t>боргу, збереження високого ступеня боргової стійкості;</w:t>
      </w:r>
      <w:r>
        <w:rPr>
          <w:rFonts w:ascii="Times New Roman" w:hAnsi="Times New Roman" w:cs="Times New Roman"/>
          <w:sz w:val="28"/>
          <w:szCs w:val="28"/>
        </w:rPr>
        <w:t xml:space="preserve"> запровадження заходів, зорієнтованих на </w:t>
      </w:r>
      <w:r w:rsidRPr="00115C82">
        <w:rPr>
          <w:rFonts w:ascii="Times New Roman" w:hAnsi="Times New Roman" w:cs="Times New Roman"/>
          <w:sz w:val="28"/>
          <w:szCs w:val="28"/>
        </w:rPr>
        <w:t>підтримк</w:t>
      </w:r>
      <w:r>
        <w:rPr>
          <w:rFonts w:ascii="Times New Roman" w:hAnsi="Times New Roman" w:cs="Times New Roman"/>
          <w:sz w:val="28"/>
          <w:szCs w:val="28"/>
        </w:rPr>
        <w:t xml:space="preserve">у у країні </w:t>
      </w:r>
      <w:r w:rsidRPr="00115C82">
        <w:rPr>
          <w:rFonts w:ascii="Times New Roman" w:hAnsi="Times New Roman" w:cs="Times New Roman"/>
          <w:sz w:val="28"/>
          <w:szCs w:val="28"/>
        </w:rPr>
        <w:t xml:space="preserve">високого рівня кредитного рейтингу з </w:t>
      </w:r>
      <w:r>
        <w:rPr>
          <w:rFonts w:ascii="Times New Roman" w:hAnsi="Times New Roman" w:cs="Times New Roman"/>
          <w:sz w:val="28"/>
          <w:szCs w:val="28"/>
        </w:rPr>
        <w:t xml:space="preserve">орієнтацією на отримання рейтингу «А» </w:t>
      </w:r>
      <w:r w:rsidR="00575DEB" w:rsidRPr="00575DEB">
        <w:rPr>
          <w:rFonts w:ascii="Times New Roman" w:hAnsi="Times New Roman" w:cs="Times New Roman"/>
          <w:noProof/>
          <w:color w:val="000000" w:themeColor="text1"/>
          <w:sz w:val="28"/>
          <w:szCs w:val="28"/>
        </w:rPr>
        <w:t>[</w:t>
      </w:r>
      <w:r w:rsidRPr="00575DEB">
        <w:rPr>
          <w:rFonts w:ascii="Times New Roman" w:hAnsi="Times New Roman" w:cs="Times New Roman"/>
          <w:noProof/>
          <w:color w:val="000000" w:themeColor="text1"/>
          <w:sz w:val="28"/>
          <w:szCs w:val="28"/>
        </w:rPr>
        <w:t>12].</w:t>
      </w:r>
      <w:r>
        <w:rPr>
          <w:rFonts w:ascii="Times New Roman" w:hAnsi="Times New Roman" w:cs="Times New Roman"/>
          <w:noProof/>
          <w:color w:val="000000" w:themeColor="text1"/>
          <w:sz w:val="28"/>
          <w:szCs w:val="28"/>
        </w:rPr>
        <w:t xml:space="preserve"> </w:t>
      </w:r>
    </w:p>
    <w:p w:rsidR="00260672" w:rsidRDefault="00260672" w:rsidP="005254DB">
      <w:pPr>
        <w:widowControl w:val="0"/>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noProof/>
          <w:color w:val="000000" w:themeColor="text1"/>
          <w:sz w:val="28"/>
          <w:szCs w:val="28"/>
        </w:rPr>
        <w:t xml:space="preserve">Поряд з цим, розвинуті країни світу орієнтуються на впровадження </w:t>
      </w:r>
      <w:r w:rsidR="00193E5A">
        <w:rPr>
          <w:rFonts w:ascii="Times New Roman" w:hAnsi="Times New Roman" w:cs="Times New Roman"/>
          <w:noProof/>
          <w:color w:val="000000" w:themeColor="text1"/>
          <w:sz w:val="28"/>
          <w:szCs w:val="28"/>
        </w:rPr>
        <w:t xml:space="preserve">системних </w:t>
      </w:r>
      <w:r>
        <w:rPr>
          <w:rFonts w:ascii="Times New Roman" w:hAnsi="Times New Roman" w:cs="Times New Roman"/>
          <w:noProof/>
          <w:color w:val="000000" w:themeColor="text1"/>
          <w:sz w:val="28"/>
          <w:szCs w:val="28"/>
        </w:rPr>
        <w:t xml:space="preserve">заходів державної боргової політики, які </w:t>
      </w:r>
      <w:r w:rsidR="00193E5A">
        <w:rPr>
          <w:rFonts w:ascii="Times New Roman" w:hAnsi="Times New Roman" w:cs="Times New Roman"/>
          <w:noProof/>
          <w:color w:val="000000" w:themeColor="text1"/>
          <w:sz w:val="28"/>
          <w:szCs w:val="28"/>
        </w:rPr>
        <w:t xml:space="preserve">зорієнтовані на мобілізацію коштів на внутрішньому ринку країни. Зокрема, йдеться про реформування внутрішнього </w:t>
      </w:r>
      <w:r w:rsidRPr="00115C82">
        <w:rPr>
          <w:rFonts w:ascii="Times New Roman" w:hAnsi="Times New Roman" w:cs="Times New Roman"/>
          <w:sz w:val="28"/>
          <w:szCs w:val="28"/>
        </w:rPr>
        <w:t xml:space="preserve">національного ринку капіталу </w:t>
      </w:r>
      <w:r w:rsidR="00193E5A">
        <w:rPr>
          <w:rFonts w:ascii="Times New Roman" w:hAnsi="Times New Roman" w:cs="Times New Roman"/>
          <w:sz w:val="28"/>
          <w:szCs w:val="28"/>
        </w:rPr>
        <w:t xml:space="preserve">таким чином, щоб забезпечити </w:t>
      </w:r>
      <w:r w:rsidRPr="00115C82">
        <w:rPr>
          <w:rFonts w:ascii="Times New Roman" w:hAnsi="Times New Roman" w:cs="Times New Roman"/>
          <w:sz w:val="28"/>
          <w:szCs w:val="28"/>
        </w:rPr>
        <w:t xml:space="preserve">стабільне </w:t>
      </w:r>
      <w:r w:rsidR="00193E5A">
        <w:rPr>
          <w:rFonts w:ascii="Times New Roman" w:hAnsi="Times New Roman" w:cs="Times New Roman"/>
          <w:sz w:val="28"/>
          <w:szCs w:val="28"/>
        </w:rPr>
        <w:t xml:space="preserve">поповнення надходжень до державного </w:t>
      </w:r>
      <w:r w:rsidRPr="00115C82">
        <w:rPr>
          <w:rFonts w:ascii="Times New Roman" w:hAnsi="Times New Roman" w:cs="Times New Roman"/>
          <w:sz w:val="28"/>
          <w:szCs w:val="28"/>
        </w:rPr>
        <w:t>бюджету</w:t>
      </w:r>
      <w:r w:rsidR="00193E5A">
        <w:rPr>
          <w:rFonts w:ascii="Times New Roman" w:hAnsi="Times New Roman" w:cs="Times New Roman"/>
          <w:sz w:val="28"/>
          <w:szCs w:val="28"/>
        </w:rPr>
        <w:t xml:space="preserve"> (за рахунок прямих та непрямих податків, роялті, рентних платежів тощо). У центрі уваги – акумуляція коштів на </w:t>
      </w:r>
      <w:r w:rsidRPr="00115C82">
        <w:rPr>
          <w:rFonts w:ascii="Times New Roman" w:hAnsi="Times New Roman" w:cs="Times New Roman"/>
          <w:sz w:val="28"/>
          <w:szCs w:val="28"/>
        </w:rPr>
        <w:t xml:space="preserve">ринку </w:t>
      </w:r>
      <w:r w:rsidR="00193E5A">
        <w:rPr>
          <w:rFonts w:ascii="Times New Roman" w:hAnsi="Times New Roman" w:cs="Times New Roman"/>
          <w:sz w:val="28"/>
          <w:szCs w:val="28"/>
        </w:rPr>
        <w:t xml:space="preserve">цінних </w:t>
      </w:r>
      <w:r w:rsidRPr="00115C82">
        <w:rPr>
          <w:rFonts w:ascii="Times New Roman" w:hAnsi="Times New Roman" w:cs="Times New Roman"/>
          <w:sz w:val="28"/>
          <w:szCs w:val="28"/>
        </w:rPr>
        <w:t>державних паперів</w:t>
      </w:r>
      <w:r w:rsidR="00193E5A">
        <w:rPr>
          <w:rFonts w:ascii="Times New Roman" w:hAnsi="Times New Roman" w:cs="Times New Roman"/>
          <w:sz w:val="28"/>
          <w:szCs w:val="28"/>
        </w:rPr>
        <w:t>, у т.ч. йдеться про політику р</w:t>
      </w:r>
      <w:r w:rsidRPr="00115C82">
        <w:rPr>
          <w:rFonts w:ascii="Times New Roman" w:hAnsi="Times New Roman" w:cs="Times New Roman"/>
          <w:sz w:val="28"/>
          <w:szCs w:val="28"/>
        </w:rPr>
        <w:t xml:space="preserve">озширення кола інвесторів </w:t>
      </w:r>
      <w:r w:rsidR="00193E5A">
        <w:rPr>
          <w:rFonts w:ascii="Times New Roman" w:hAnsi="Times New Roman" w:cs="Times New Roman"/>
          <w:sz w:val="28"/>
          <w:szCs w:val="28"/>
        </w:rPr>
        <w:t>у</w:t>
      </w:r>
      <w:r w:rsidRPr="00115C82">
        <w:rPr>
          <w:rFonts w:ascii="Times New Roman" w:hAnsi="Times New Roman" w:cs="Times New Roman"/>
          <w:sz w:val="28"/>
          <w:szCs w:val="28"/>
        </w:rPr>
        <w:t xml:space="preserve"> держ</w:t>
      </w:r>
      <w:r w:rsidR="00193E5A">
        <w:rPr>
          <w:rFonts w:ascii="Times New Roman" w:hAnsi="Times New Roman" w:cs="Times New Roman"/>
          <w:sz w:val="28"/>
          <w:szCs w:val="28"/>
        </w:rPr>
        <w:t xml:space="preserve">авні цінні папери (наприклад – єврооблігації). Реформуванню та удосконаленню підлягає і </w:t>
      </w:r>
      <w:r w:rsidRPr="00115C82">
        <w:rPr>
          <w:rFonts w:ascii="Times New Roman" w:hAnsi="Times New Roman" w:cs="Times New Roman"/>
          <w:sz w:val="28"/>
          <w:szCs w:val="28"/>
        </w:rPr>
        <w:t>механізм</w:t>
      </w:r>
      <w:r w:rsidR="00193E5A">
        <w:rPr>
          <w:rFonts w:ascii="Times New Roman" w:hAnsi="Times New Roman" w:cs="Times New Roman"/>
          <w:sz w:val="28"/>
          <w:szCs w:val="28"/>
        </w:rPr>
        <w:t xml:space="preserve"> надання державних гарантій, у т.ч. державних гарантій корпоративному сектору на ринку зовнішніх запозичень. Такі заходи мають середньостроковий та довгостроковий характер реалізації та спрямовані на еволюційне</w:t>
      </w:r>
      <w:r w:rsidR="00CA3F74">
        <w:rPr>
          <w:rFonts w:ascii="Times New Roman" w:hAnsi="Times New Roman" w:cs="Times New Roman"/>
          <w:sz w:val="28"/>
          <w:szCs w:val="28"/>
        </w:rPr>
        <w:t xml:space="preserve">, «антистресове» </w:t>
      </w:r>
      <w:r w:rsidR="00193E5A">
        <w:rPr>
          <w:rFonts w:ascii="Times New Roman" w:hAnsi="Times New Roman" w:cs="Times New Roman"/>
          <w:sz w:val="28"/>
          <w:szCs w:val="28"/>
        </w:rPr>
        <w:t>вирішення проблеми зовнішньої заборгованості розвинутих країн світу.</w:t>
      </w:r>
    </w:p>
    <w:p w:rsidR="00087709" w:rsidRDefault="00087709" w:rsidP="005254DB">
      <w:pPr>
        <w:widowControl w:val="0"/>
        <w:autoSpaceDE w:val="0"/>
        <w:autoSpaceDN w:val="0"/>
        <w:adjustRightInd w:val="0"/>
        <w:spacing w:line="360" w:lineRule="auto"/>
        <w:ind w:firstLine="284"/>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Разом з тим, для таких розвинутих країн як Греція та Ірландія міжнародними фінансовими організаціями та ЄС було запропоновано інший шлях вирішення проблеми зовнішньої заборг</w:t>
      </w:r>
      <w:r w:rsidR="00EE15B0">
        <w:rPr>
          <w:rFonts w:ascii="Times New Roman" w:hAnsi="Times New Roman" w:cs="Times New Roman"/>
          <w:color w:val="000000" w:themeColor="text1"/>
          <w:sz w:val="28"/>
          <w:szCs w:val="28"/>
        </w:rPr>
        <w:t xml:space="preserve">ованості. Як свідчать </w:t>
      </w:r>
      <w:r w:rsidR="00EE15B0" w:rsidRPr="00EE15B0">
        <w:rPr>
          <w:rFonts w:ascii="Times New Roman" w:hAnsi="Times New Roman" w:cs="Times New Roman"/>
          <w:b/>
          <w:color w:val="000000" w:themeColor="text1"/>
          <w:sz w:val="28"/>
          <w:szCs w:val="28"/>
        </w:rPr>
        <w:t>дані рис. 3</w:t>
      </w:r>
      <w:r w:rsidRPr="00EE15B0">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динаміка зовнішнього боргу Греції та Ірландії є позитивною, що викликає занепокоєння у кредиторів цих країн. У 2015 р. Греція вже була на грані оголошення дефолту, але проблему вдалося вирішити за рахунок реструктуризації державного боргу та запровадження жорстких рекомендацій політики «затягування пасків». </w:t>
      </w:r>
      <w:r>
        <w:rPr>
          <w:rFonts w:ascii="Times New Roman" w:hAnsi="Times New Roman" w:cs="Times New Roman"/>
          <w:color w:val="000000" w:themeColor="text1"/>
          <w:sz w:val="28"/>
          <w:szCs w:val="28"/>
        </w:rPr>
        <w:lastRenderedPageBreak/>
        <w:t xml:space="preserve">Внаслідок цього, у 2015 р. у Греції було запроваджено короткострокові заходи, спрямовані на </w:t>
      </w:r>
      <w:r w:rsidR="001C721A" w:rsidRPr="00115C82">
        <w:rPr>
          <w:rFonts w:ascii="Times New Roman" w:hAnsi="Times New Roman" w:cs="Times New Roman"/>
          <w:color w:val="000000" w:themeColor="text1"/>
          <w:sz w:val="28"/>
          <w:szCs w:val="28"/>
        </w:rPr>
        <w:t xml:space="preserve">скорочення дефіциту державного бюджету, </w:t>
      </w:r>
      <w:r>
        <w:rPr>
          <w:rFonts w:ascii="Times New Roman" w:hAnsi="Times New Roman" w:cs="Times New Roman"/>
          <w:color w:val="000000" w:themeColor="text1"/>
          <w:sz w:val="28"/>
          <w:szCs w:val="28"/>
        </w:rPr>
        <w:t xml:space="preserve">на </w:t>
      </w:r>
      <w:r w:rsidR="001C721A" w:rsidRPr="00115C82">
        <w:rPr>
          <w:rFonts w:ascii="Times New Roman" w:hAnsi="Times New Roman" w:cs="Times New Roman"/>
          <w:color w:val="000000" w:themeColor="text1"/>
          <w:sz w:val="28"/>
          <w:szCs w:val="28"/>
        </w:rPr>
        <w:t>політик</w:t>
      </w:r>
      <w:r>
        <w:rPr>
          <w:rFonts w:ascii="Times New Roman" w:hAnsi="Times New Roman" w:cs="Times New Roman"/>
          <w:color w:val="000000" w:themeColor="text1"/>
          <w:sz w:val="28"/>
          <w:szCs w:val="28"/>
        </w:rPr>
        <w:t xml:space="preserve">у «затягування пасків» та </w:t>
      </w:r>
      <w:r w:rsidR="001C721A" w:rsidRPr="00115C82">
        <w:rPr>
          <w:rFonts w:ascii="Times New Roman" w:hAnsi="Times New Roman" w:cs="Times New Roman"/>
          <w:color w:val="000000" w:themeColor="text1"/>
          <w:sz w:val="28"/>
          <w:szCs w:val="28"/>
        </w:rPr>
        <w:t>сувор</w:t>
      </w:r>
      <w:r>
        <w:rPr>
          <w:rFonts w:ascii="Times New Roman" w:hAnsi="Times New Roman" w:cs="Times New Roman"/>
          <w:color w:val="000000" w:themeColor="text1"/>
          <w:sz w:val="28"/>
          <w:szCs w:val="28"/>
        </w:rPr>
        <w:t xml:space="preserve">у </w:t>
      </w:r>
      <w:r w:rsidR="001C721A" w:rsidRPr="00115C82">
        <w:rPr>
          <w:rFonts w:ascii="Times New Roman" w:hAnsi="Times New Roman" w:cs="Times New Roman"/>
          <w:color w:val="000000" w:themeColor="text1"/>
          <w:sz w:val="28"/>
          <w:szCs w:val="28"/>
        </w:rPr>
        <w:t>економі</w:t>
      </w:r>
      <w:r>
        <w:rPr>
          <w:rFonts w:ascii="Times New Roman" w:hAnsi="Times New Roman" w:cs="Times New Roman"/>
          <w:color w:val="000000" w:themeColor="text1"/>
          <w:sz w:val="28"/>
          <w:szCs w:val="28"/>
        </w:rPr>
        <w:t>ю бюджетних коштів. У</w:t>
      </w:r>
      <w:r w:rsidR="001C721A" w:rsidRPr="00115C82">
        <w:rPr>
          <w:rFonts w:ascii="Times New Roman" w:hAnsi="Times New Roman" w:cs="Times New Roman"/>
          <w:color w:val="000000" w:themeColor="text1"/>
          <w:sz w:val="28"/>
          <w:szCs w:val="28"/>
        </w:rPr>
        <w:t xml:space="preserve"> 2015 р</w:t>
      </w:r>
      <w:r>
        <w:rPr>
          <w:rFonts w:ascii="Times New Roman" w:hAnsi="Times New Roman" w:cs="Times New Roman"/>
          <w:color w:val="000000" w:themeColor="text1"/>
          <w:sz w:val="28"/>
          <w:szCs w:val="28"/>
        </w:rPr>
        <w:t>.</w:t>
      </w:r>
      <w:r w:rsidR="001C721A" w:rsidRPr="00115C82">
        <w:rPr>
          <w:rFonts w:ascii="Times New Roman" w:hAnsi="Times New Roman" w:cs="Times New Roman"/>
          <w:color w:val="000000" w:themeColor="text1"/>
          <w:sz w:val="28"/>
          <w:szCs w:val="28"/>
        </w:rPr>
        <w:t xml:space="preserve"> було звільнено 24750 державних службовців (</w:t>
      </w:r>
      <w:r>
        <w:rPr>
          <w:rFonts w:ascii="Times New Roman" w:hAnsi="Times New Roman" w:cs="Times New Roman"/>
          <w:color w:val="000000" w:themeColor="text1"/>
          <w:sz w:val="28"/>
          <w:szCs w:val="28"/>
        </w:rPr>
        <w:t xml:space="preserve">що становило </w:t>
      </w:r>
      <w:r w:rsidR="001C721A" w:rsidRPr="00115C82">
        <w:rPr>
          <w:rFonts w:ascii="Times New Roman" w:hAnsi="Times New Roman" w:cs="Times New Roman"/>
          <w:color w:val="000000" w:themeColor="text1"/>
          <w:sz w:val="28"/>
          <w:szCs w:val="28"/>
        </w:rPr>
        <w:t xml:space="preserve">8 % </w:t>
      </w:r>
      <w:r>
        <w:rPr>
          <w:rFonts w:ascii="Times New Roman" w:hAnsi="Times New Roman" w:cs="Times New Roman"/>
          <w:color w:val="000000" w:themeColor="text1"/>
          <w:sz w:val="28"/>
          <w:szCs w:val="28"/>
        </w:rPr>
        <w:t xml:space="preserve">від загальної кількості </w:t>
      </w:r>
      <w:r w:rsidR="001C721A" w:rsidRPr="00115C82">
        <w:rPr>
          <w:rFonts w:ascii="Times New Roman" w:hAnsi="Times New Roman" w:cs="Times New Roman"/>
          <w:color w:val="000000" w:themeColor="text1"/>
          <w:sz w:val="28"/>
          <w:szCs w:val="28"/>
        </w:rPr>
        <w:t xml:space="preserve">робочої сили). Ті, хто заново влаштовувався на роботу, отримували на 10 % </w:t>
      </w:r>
      <w:r>
        <w:rPr>
          <w:rFonts w:ascii="Times New Roman" w:hAnsi="Times New Roman" w:cs="Times New Roman"/>
          <w:color w:val="000000" w:themeColor="text1"/>
          <w:sz w:val="28"/>
          <w:szCs w:val="28"/>
        </w:rPr>
        <w:t xml:space="preserve">заробітної плати </w:t>
      </w:r>
      <w:r w:rsidR="001C721A" w:rsidRPr="00115C82">
        <w:rPr>
          <w:rFonts w:ascii="Times New Roman" w:hAnsi="Times New Roman" w:cs="Times New Roman"/>
          <w:color w:val="000000" w:themeColor="text1"/>
          <w:sz w:val="28"/>
          <w:szCs w:val="28"/>
        </w:rPr>
        <w:t>менше</w:t>
      </w:r>
      <w:r>
        <w:rPr>
          <w:rFonts w:ascii="Times New Roman" w:hAnsi="Times New Roman" w:cs="Times New Roman"/>
          <w:color w:val="000000" w:themeColor="text1"/>
          <w:sz w:val="28"/>
          <w:szCs w:val="28"/>
        </w:rPr>
        <w:t xml:space="preserve">, ніж платили за </w:t>
      </w:r>
      <w:proofErr w:type="spellStart"/>
      <w:r>
        <w:rPr>
          <w:rFonts w:ascii="Times New Roman" w:hAnsi="Times New Roman" w:cs="Times New Roman"/>
          <w:color w:val="000000" w:themeColor="text1"/>
          <w:sz w:val="28"/>
          <w:szCs w:val="28"/>
        </w:rPr>
        <w:t>анальгічну</w:t>
      </w:r>
      <w:proofErr w:type="spellEnd"/>
      <w:r>
        <w:rPr>
          <w:rFonts w:ascii="Times New Roman" w:hAnsi="Times New Roman" w:cs="Times New Roman"/>
          <w:color w:val="000000" w:themeColor="text1"/>
          <w:sz w:val="28"/>
          <w:szCs w:val="28"/>
        </w:rPr>
        <w:t xml:space="preserve"> роботу до 2015 р.</w:t>
      </w:r>
      <w:r w:rsidR="001C721A" w:rsidRPr="00115C82">
        <w:rPr>
          <w:rFonts w:ascii="Times New Roman" w:hAnsi="Times New Roman" w:cs="Times New Roman"/>
          <w:color w:val="000000" w:themeColor="text1"/>
          <w:sz w:val="28"/>
          <w:szCs w:val="28"/>
        </w:rPr>
        <w:t xml:space="preserve"> Зменшення соціальних трансферів призвело до різкого зменшення доступності медицини, заморожування пенсій. </w:t>
      </w:r>
      <w:r>
        <w:rPr>
          <w:rFonts w:ascii="Times New Roman" w:hAnsi="Times New Roman" w:cs="Times New Roman"/>
          <w:color w:val="000000" w:themeColor="text1"/>
          <w:sz w:val="28"/>
          <w:szCs w:val="28"/>
        </w:rPr>
        <w:t xml:space="preserve">У Греції були підвищені податки: </w:t>
      </w:r>
      <w:r w:rsidR="001C721A" w:rsidRPr="00115C82">
        <w:rPr>
          <w:rFonts w:ascii="Times New Roman" w:hAnsi="Times New Roman" w:cs="Times New Roman"/>
          <w:color w:val="000000" w:themeColor="text1"/>
          <w:sz w:val="28"/>
          <w:szCs w:val="28"/>
        </w:rPr>
        <w:t xml:space="preserve">ПДВ було збільшено з 21 % </w:t>
      </w:r>
      <w:r>
        <w:rPr>
          <w:rFonts w:ascii="Times New Roman" w:hAnsi="Times New Roman" w:cs="Times New Roman"/>
          <w:color w:val="000000" w:themeColor="text1"/>
          <w:sz w:val="28"/>
          <w:szCs w:val="28"/>
        </w:rPr>
        <w:t xml:space="preserve">(2014 р.) </w:t>
      </w:r>
      <w:r w:rsidR="001C721A" w:rsidRPr="00115C82">
        <w:rPr>
          <w:rFonts w:ascii="Times New Roman" w:hAnsi="Times New Roman" w:cs="Times New Roman"/>
          <w:color w:val="000000" w:themeColor="text1"/>
          <w:sz w:val="28"/>
          <w:szCs w:val="28"/>
        </w:rPr>
        <w:t>до 23 % у 201</w:t>
      </w:r>
      <w:r>
        <w:rPr>
          <w:rFonts w:ascii="Times New Roman" w:hAnsi="Times New Roman" w:cs="Times New Roman"/>
          <w:color w:val="000000" w:themeColor="text1"/>
          <w:sz w:val="28"/>
          <w:szCs w:val="28"/>
        </w:rPr>
        <w:t>5</w:t>
      </w:r>
      <w:r w:rsidR="001C721A" w:rsidRPr="00115C82">
        <w:rPr>
          <w:rFonts w:ascii="Times New Roman" w:hAnsi="Times New Roman" w:cs="Times New Roman"/>
          <w:color w:val="000000" w:themeColor="text1"/>
          <w:sz w:val="28"/>
          <w:szCs w:val="28"/>
        </w:rPr>
        <w:t xml:space="preserve"> р</w:t>
      </w:r>
      <w:r>
        <w:rPr>
          <w:rFonts w:ascii="Times New Roman" w:hAnsi="Times New Roman" w:cs="Times New Roman"/>
          <w:color w:val="000000" w:themeColor="text1"/>
          <w:sz w:val="28"/>
          <w:szCs w:val="28"/>
        </w:rPr>
        <w:t>.</w:t>
      </w:r>
      <w:r w:rsidR="001C721A" w:rsidRPr="00115C82">
        <w:rPr>
          <w:rFonts w:ascii="Times New Roman" w:hAnsi="Times New Roman" w:cs="Times New Roman"/>
          <w:color w:val="000000" w:themeColor="text1"/>
          <w:sz w:val="28"/>
          <w:szCs w:val="28"/>
        </w:rPr>
        <w:t>, запроваджено новий податок на володіння житлом, зменшено мінімальну погодинну ставку о</w:t>
      </w:r>
      <w:r>
        <w:rPr>
          <w:rFonts w:ascii="Times New Roman" w:hAnsi="Times New Roman" w:cs="Times New Roman"/>
          <w:color w:val="000000" w:themeColor="text1"/>
          <w:sz w:val="28"/>
          <w:szCs w:val="28"/>
        </w:rPr>
        <w:t xml:space="preserve">плати праці з 8,65 до 7,65 євро </w:t>
      </w:r>
      <w:r w:rsidRPr="00B451E1">
        <w:rPr>
          <w:rFonts w:ascii="Times New Roman" w:hAnsi="Times New Roman" w:cs="Times New Roman"/>
          <w:noProof/>
          <w:color w:val="000000" w:themeColor="text1"/>
          <w:sz w:val="28"/>
          <w:szCs w:val="28"/>
        </w:rPr>
        <w:t>[1</w:t>
      </w:r>
      <w:r w:rsidR="00B451E1" w:rsidRPr="00B451E1">
        <w:rPr>
          <w:rFonts w:ascii="Times New Roman" w:hAnsi="Times New Roman" w:cs="Times New Roman"/>
          <w:noProof/>
          <w:color w:val="000000" w:themeColor="text1"/>
          <w:sz w:val="28"/>
          <w:szCs w:val="28"/>
        </w:rPr>
        <w:t>3</w:t>
      </w:r>
      <w:r w:rsidRPr="00B451E1">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p>
    <w:p w:rsidR="00FF10AC" w:rsidRPr="00115C82" w:rsidRDefault="00FF10AC" w:rsidP="005254DB">
      <w:pPr>
        <w:widowControl w:val="0"/>
        <w:autoSpaceDE w:val="0"/>
        <w:autoSpaceDN w:val="0"/>
        <w:adjustRightInd w:val="0"/>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Після реструктуризації боргів у 2015 р., проблема зовнішньої заборгованості Греції загострилася у 2017 р. </w:t>
      </w:r>
      <w:r w:rsidRPr="00115C82">
        <w:rPr>
          <w:rFonts w:ascii="Times New Roman" w:hAnsi="Times New Roman" w:cs="Times New Roman"/>
          <w:sz w:val="28"/>
          <w:szCs w:val="28"/>
        </w:rPr>
        <w:t xml:space="preserve">Боргове навантаження економіки </w:t>
      </w:r>
      <w:r>
        <w:rPr>
          <w:rFonts w:ascii="Times New Roman" w:hAnsi="Times New Roman" w:cs="Times New Roman"/>
          <w:sz w:val="28"/>
          <w:szCs w:val="28"/>
        </w:rPr>
        <w:t xml:space="preserve">Греції </w:t>
      </w:r>
      <w:r w:rsidRPr="00115C82">
        <w:rPr>
          <w:rFonts w:ascii="Times New Roman" w:hAnsi="Times New Roman" w:cs="Times New Roman"/>
          <w:sz w:val="28"/>
          <w:szCs w:val="28"/>
        </w:rPr>
        <w:t>продовжує зростати</w:t>
      </w:r>
      <w:r>
        <w:rPr>
          <w:rFonts w:ascii="Times New Roman" w:hAnsi="Times New Roman" w:cs="Times New Roman"/>
          <w:sz w:val="28"/>
          <w:szCs w:val="28"/>
        </w:rPr>
        <w:t xml:space="preserve"> і за прогнозами МВФ – зі</w:t>
      </w:r>
      <w:r w:rsidRPr="00115C82">
        <w:rPr>
          <w:rFonts w:ascii="Times New Roman" w:hAnsi="Times New Roman" w:cs="Times New Roman"/>
          <w:sz w:val="28"/>
          <w:szCs w:val="28"/>
        </w:rPr>
        <w:t xml:space="preserve"> 180 % ВВП у 2017 р</w:t>
      </w:r>
      <w:r>
        <w:rPr>
          <w:rFonts w:ascii="Times New Roman" w:hAnsi="Times New Roman" w:cs="Times New Roman"/>
          <w:sz w:val="28"/>
          <w:szCs w:val="28"/>
        </w:rPr>
        <w:t>. може досягти 275 % від ВВП</w:t>
      </w:r>
      <w:r w:rsidRPr="00FF10AC">
        <w:rPr>
          <w:rFonts w:ascii="Times New Roman" w:hAnsi="Times New Roman" w:cs="Times New Roman"/>
          <w:sz w:val="28"/>
          <w:szCs w:val="28"/>
        </w:rPr>
        <w:t xml:space="preserve"> </w:t>
      </w:r>
      <w:r>
        <w:rPr>
          <w:rFonts w:ascii="Times New Roman" w:hAnsi="Times New Roman" w:cs="Times New Roman"/>
          <w:sz w:val="28"/>
          <w:szCs w:val="28"/>
        </w:rPr>
        <w:t xml:space="preserve">до 2060 р. </w:t>
      </w:r>
      <w:r w:rsidR="00B451E1" w:rsidRPr="00B451E1">
        <w:rPr>
          <w:rFonts w:ascii="Times New Roman" w:hAnsi="Times New Roman" w:cs="Times New Roman"/>
          <w:noProof/>
          <w:color w:val="000000" w:themeColor="text1"/>
          <w:sz w:val="28"/>
          <w:szCs w:val="28"/>
        </w:rPr>
        <w:t>[14</w:t>
      </w:r>
      <w:r w:rsidRPr="00B451E1">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Тісний зв'язок економіки та банківської системи Греції з економікою (та банківською системою країн ЄС) формує ризик «втягування» у боргову кризу Греції і інші країни ЄС. Для попередження ризиків настання дефолту, наприкінці 2017 р. до Греції </w:t>
      </w:r>
      <w:r w:rsidR="00A81CF5">
        <w:rPr>
          <w:rFonts w:ascii="Times New Roman" w:hAnsi="Times New Roman" w:cs="Times New Roman"/>
          <w:noProof/>
          <w:color w:val="000000" w:themeColor="text1"/>
          <w:sz w:val="28"/>
          <w:szCs w:val="28"/>
        </w:rPr>
        <w:t>було висунуто низку нових вимог «затягування пасків» та зменшення дефіциту державного бюджету. Б</w:t>
      </w:r>
      <w:proofErr w:type="spellStart"/>
      <w:r w:rsidRPr="00115C82">
        <w:rPr>
          <w:rFonts w:ascii="Times New Roman" w:hAnsi="Times New Roman" w:cs="Times New Roman"/>
          <w:color w:val="000000" w:themeColor="text1"/>
          <w:sz w:val="28"/>
          <w:szCs w:val="28"/>
        </w:rPr>
        <w:t>орг</w:t>
      </w:r>
      <w:proofErr w:type="spellEnd"/>
      <w:r w:rsidRPr="00115C82">
        <w:rPr>
          <w:rFonts w:ascii="Times New Roman" w:hAnsi="Times New Roman" w:cs="Times New Roman"/>
          <w:color w:val="000000" w:themeColor="text1"/>
          <w:sz w:val="28"/>
          <w:szCs w:val="28"/>
        </w:rPr>
        <w:t xml:space="preserve"> уряду </w:t>
      </w:r>
      <w:r w:rsidR="00A81CF5">
        <w:rPr>
          <w:rFonts w:ascii="Times New Roman" w:hAnsi="Times New Roman" w:cs="Times New Roman"/>
          <w:color w:val="000000" w:themeColor="text1"/>
          <w:sz w:val="28"/>
          <w:szCs w:val="28"/>
        </w:rPr>
        <w:t xml:space="preserve">Греції </w:t>
      </w:r>
      <w:r w:rsidRPr="00115C82">
        <w:rPr>
          <w:rFonts w:ascii="Times New Roman" w:hAnsi="Times New Roman" w:cs="Times New Roman"/>
          <w:color w:val="000000" w:themeColor="text1"/>
          <w:sz w:val="28"/>
          <w:szCs w:val="28"/>
        </w:rPr>
        <w:t xml:space="preserve">перед </w:t>
      </w:r>
      <w:proofErr w:type="spellStart"/>
      <w:r w:rsidRPr="00115C82">
        <w:rPr>
          <w:rFonts w:ascii="Times New Roman" w:hAnsi="Times New Roman" w:cs="Times New Roman"/>
          <w:color w:val="000000" w:themeColor="text1"/>
          <w:sz w:val="28"/>
          <w:szCs w:val="28"/>
        </w:rPr>
        <w:t>країнами</w:t>
      </w:r>
      <w:proofErr w:type="spellEnd"/>
      <w:r w:rsidRPr="00115C82">
        <w:rPr>
          <w:rFonts w:ascii="Times New Roman" w:hAnsi="Times New Roman" w:cs="Times New Roman"/>
          <w:color w:val="000000" w:themeColor="text1"/>
          <w:sz w:val="28"/>
          <w:szCs w:val="28"/>
        </w:rPr>
        <w:t xml:space="preserve"> Єврозони становить 52,9 </w:t>
      </w:r>
      <w:proofErr w:type="spellStart"/>
      <w:r w:rsidRPr="00115C82">
        <w:rPr>
          <w:rFonts w:ascii="Times New Roman" w:hAnsi="Times New Roman" w:cs="Times New Roman"/>
          <w:color w:val="000000" w:themeColor="text1"/>
          <w:sz w:val="28"/>
          <w:szCs w:val="28"/>
        </w:rPr>
        <w:t>млрд</w:t>
      </w:r>
      <w:proofErr w:type="spellEnd"/>
      <w:r w:rsidRPr="00115C82">
        <w:rPr>
          <w:rFonts w:ascii="Times New Roman" w:hAnsi="Times New Roman" w:cs="Times New Roman"/>
          <w:color w:val="000000" w:themeColor="text1"/>
          <w:sz w:val="28"/>
          <w:szCs w:val="28"/>
        </w:rPr>
        <w:t xml:space="preserve"> </w:t>
      </w:r>
      <w:r w:rsidR="00A81CF5">
        <w:rPr>
          <w:rFonts w:ascii="Times New Roman" w:hAnsi="Times New Roman" w:cs="Times New Roman"/>
          <w:color w:val="000000" w:themeColor="text1"/>
          <w:sz w:val="28"/>
          <w:szCs w:val="28"/>
        </w:rPr>
        <w:t>є</w:t>
      </w:r>
      <w:r w:rsidRPr="00115C82">
        <w:rPr>
          <w:rFonts w:ascii="Times New Roman" w:hAnsi="Times New Roman" w:cs="Times New Roman"/>
          <w:color w:val="000000" w:themeColor="text1"/>
          <w:sz w:val="28"/>
          <w:szCs w:val="28"/>
        </w:rPr>
        <w:t>вро. Заходи</w:t>
      </w:r>
      <w:r w:rsidR="00A81CF5">
        <w:rPr>
          <w:rFonts w:ascii="Times New Roman" w:hAnsi="Times New Roman" w:cs="Times New Roman"/>
          <w:color w:val="000000" w:themeColor="text1"/>
          <w:sz w:val="28"/>
          <w:szCs w:val="28"/>
        </w:rPr>
        <w:t xml:space="preserve"> </w:t>
      </w:r>
      <w:proofErr w:type="spellStart"/>
      <w:r w:rsidR="00A81CF5">
        <w:rPr>
          <w:rFonts w:ascii="Times New Roman" w:hAnsi="Times New Roman" w:cs="Times New Roman"/>
          <w:color w:val="000000" w:themeColor="text1"/>
          <w:sz w:val="28"/>
          <w:szCs w:val="28"/>
        </w:rPr>
        <w:t>жорсткої</w:t>
      </w:r>
      <w:proofErr w:type="spellEnd"/>
      <w:r w:rsidR="00A81CF5">
        <w:rPr>
          <w:rFonts w:ascii="Times New Roman" w:hAnsi="Times New Roman" w:cs="Times New Roman"/>
          <w:color w:val="000000" w:themeColor="text1"/>
          <w:sz w:val="28"/>
          <w:szCs w:val="28"/>
        </w:rPr>
        <w:t xml:space="preserve"> </w:t>
      </w:r>
      <w:proofErr w:type="spellStart"/>
      <w:r w:rsidR="00A81CF5">
        <w:rPr>
          <w:rFonts w:ascii="Times New Roman" w:hAnsi="Times New Roman" w:cs="Times New Roman"/>
          <w:color w:val="000000" w:themeColor="text1"/>
          <w:sz w:val="28"/>
          <w:szCs w:val="28"/>
        </w:rPr>
        <w:t>економії</w:t>
      </w:r>
      <w:proofErr w:type="spellEnd"/>
      <w:r w:rsidR="00A81CF5">
        <w:rPr>
          <w:rFonts w:ascii="Times New Roman" w:hAnsi="Times New Roman" w:cs="Times New Roman"/>
          <w:color w:val="000000" w:themeColor="text1"/>
          <w:sz w:val="28"/>
          <w:szCs w:val="28"/>
        </w:rPr>
        <w:t xml:space="preserve"> (збільшення віку виходу на пенсію, скорочення бюджетних працівників та ін.) поєднуються із </w:t>
      </w:r>
      <w:r w:rsidRPr="00115C82">
        <w:rPr>
          <w:rFonts w:ascii="Times New Roman" w:hAnsi="Times New Roman" w:cs="Times New Roman"/>
          <w:color w:val="000000" w:themeColor="text1"/>
          <w:sz w:val="28"/>
          <w:szCs w:val="28"/>
        </w:rPr>
        <w:t>вим</w:t>
      </w:r>
      <w:r w:rsidR="00A81CF5">
        <w:rPr>
          <w:rFonts w:ascii="Times New Roman" w:hAnsi="Times New Roman" w:cs="Times New Roman"/>
          <w:color w:val="000000" w:themeColor="text1"/>
          <w:sz w:val="28"/>
          <w:szCs w:val="28"/>
        </w:rPr>
        <w:t xml:space="preserve">огами </w:t>
      </w:r>
      <w:r w:rsidRPr="00115C82">
        <w:rPr>
          <w:rFonts w:ascii="Times New Roman" w:hAnsi="Times New Roman" w:cs="Times New Roman"/>
          <w:color w:val="000000" w:themeColor="text1"/>
          <w:sz w:val="28"/>
          <w:szCs w:val="28"/>
        </w:rPr>
        <w:t>покращ</w:t>
      </w:r>
      <w:r w:rsidR="00A81CF5">
        <w:rPr>
          <w:rFonts w:ascii="Times New Roman" w:hAnsi="Times New Roman" w:cs="Times New Roman"/>
          <w:color w:val="000000" w:themeColor="text1"/>
          <w:sz w:val="28"/>
          <w:szCs w:val="28"/>
        </w:rPr>
        <w:t xml:space="preserve">ити </w:t>
      </w:r>
      <w:r w:rsidRPr="00115C82">
        <w:rPr>
          <w:rFonts w:ascii="Times New Roman" w:hAnsi="Times New Roman" w:cs="Times New Roman"/>
          <w:color w:val="000000" w:themeColor="text1"/>
          <w:sz w:val="28"/>
          <w:szCs w:val="28"/>
        </w:rPr>
        <w:t>систем</w:t>
      </w:r>
      <w:r w:rsidR="00A81CF5">
        <w:rPr>
          <w:rFonts w:ascii="Times New Roman" w:hAnsi="Times New Roman" w:cs="Times New Roman"/>
          <w:color w:val="000000" w:themeColor="text1"/>
          <w:sz w:val="28"/>
          <w:szCs w:val="28"/>
        </w:rPr>
        <w:t>у</w:t>
      </w:r>
      <w:r w:rsidRPr="00115C82">
        <w:rPr>
          <w:rFonts w:ascii="Times New Roman" w:hAnsi="Times New Roman" w:cs="Times New Roman"/>
          <w:color w:val="000000" w:themeColor="text1"/>
          <w:sz w:val="28"/>
          <w:szCs w:val="28"/>
        </w:rPr>
        <w:t xml:space="preserve"> у</w:t>
      </w:r>
      <w:r w:rsidR="00A81CF5">
        <w:rPr>
          <w:rFonts w:ascii="Times New Roman" w:hAnsi="Times New Roman" w:cs="Times New Roman"/>
          <w:color w:val="000000" w:themeColor="text1"/>
          <w:sz w:val="28"/>
          <w:szCs w:val="28"/>
        </w:rPr>
        <w:t xml:space="preserve">правління державними фінансами; </w:t>
      </w:r>
      <w:r w:rsidRPr="00115C82">
        <w:rPr>
          <w:rFonts w:ascii="Times New Roman" w:hAnsi="Times New Roman" w:cs="Times New Roman"/>
          <w:color w:val="000000" w:themeColor="text1"/>
          <w:sz w:val="28"/>
          <w:szCs w:val="28"/>
        </w:rPr>
        <w:t>модерніз</w:t>
      </w:r>
      <w:r w:rsidR="00A81CF5">
        <w:rPr>
          <w:rFonts w:ascii="Times New Roman" w:hAnsi="Times New Roman" w:cs="Times New Roman"/>
          <w:color w:val="000000" w:themeColor="text1"/>
          <w:sz w:val="28"/>
          <w:szCs w:val="28"/>
        </w:rPr>
        <w:t xml:space="preserve">увати </w:t>
      </w:r>
      <w:r w:rsidRPr="00115C82">
        <w:rPr>
          <w:rFonts w:ascii="Times New Roman" w:hAnsi="Times New Roman" w:cs="Times New Roman"/>
          <w:color w:val="000000" w:themeColor="text1"/>
          <w:sz w:val="28"/>
          <w:szCs w:val="28"/>
        </w:rPr>
        <w:t>правил</w:t>
      </w:r>
      <w:r w:rsidR="00A81CF5">
        <w:rPr>
          <w:rFonts w:ascii="Times New Roman" w:hAnsi="Times New Roman" w:cs="Times New Roman"/>
          <w:color w:val="000000" w:themeColor="text1"/>
          <w:sz w:val="28"/>
          <w:szCs w:val="28"/>
        </w:rPr>
        <w:t>а</w:t>
      </w:r>
      <w:r w:rsidRPr="00115C82">
        <w:rPr>
          <w:rFonts w:ascii="Times New Roman" w:hAnsi="Times New Roman" w:cs="Times New Roman"/>
          <w:color w:val="000000" w:themeColor="text1"/>
          <w:sz w:val="28"/>
          <w:szCs w:val="28"/>
        </w:rPr>
        <w:t xml:space="preserve"> ведення </w:t>
      </w:r>
      <w:proofErr w:type="spellStart"/>
      <w:r w:rsidRPr="00115C82">
        <w:rPr>
          <w:rFonts w:ascii="Times New Roman" w:hAnsi="Times New Roman" w:cs="Times New Roman"/>
          <w:color w:val="000000" w:themeColor="text1"/>
          <w:sz w:val="28"/>
          <w:szCs w:val="28"/>
        </w:rPr>
        <w:t>фіна</w:t>
      </w:r>
      <w:r w:rsidR="00A81CF5">
        <w:rPr>
          <w:rFonts w:ascii="Times New Roman" w:hAnsi="Times New Roman" w:cs="Times New Roman"/>
          <w:color w:val="000000" w:themeColor="text1"/>
          <w:sz w:val="28"/>
          <w:szCs w:val="28"/>
        </w:rPr>
        <w:t>нсової</w:t>
      </w:r>
      <w:proofErr w:type="spellEnd"/>
      <w:r w:rsidR="00A81CF5">
        <w:rPr>
          <w:rFonts w:ascii="Times New Roman" w:hAnsi="Times New Roman" w:cs="Times New Roman"/>
          <w:color w:val="000000" w:themeColor="text1"/>
          <w:sz w:val="28"/>
          <w:szCs w:val="28"/>
        </w:rPr>
        <w:t xml:space="preserve"> статистики та звітності; </w:t>
      </w:r>
      <w:r w:rsidRPr="00115C82">
        <w:rPr>
          <w:rFonts w:ascii="Times New Roman" w:hAnsi="Times New Roman" w:cs="Times New Roman"/>
          <w:color w:val="000000" w:themeColor="text1"/>
          <w:sz w:val="28"/>
          <w:szCs w:val="28"/>
        </w:rPr>
        <w:t>зни</w:t>
      </w:r>
      <w:r w:rsidR="00A81CF5">
        <w:rPr>
          <w:rFonts w:ascii="Times New Roman" w:hAnsi="Times New Roman" w:cs="Times New Roman"/>
          <w:color w:val="000000" w:themeColor="text1"/>
          <w:sz w:val="28"/>
          <w:szCs w:val="28"/>
        </w:rPr>
        <w:t xml:space="preserve">зити </w:t>
      </w:r>
      <w:r w:rsidRPr="00115C82">
        <w:rPr>
          <w:rFonts w:ascii="Times New Roman" w:hAnsi="Times New Roman" w:cs="Times New Roman"/>
          <w:color w:val="000000" w:themeColor="text1"/>
          <w:sz w:val="28"/>
          <w:szCs w:val="28"/>
        </w:rPr>
        <w:t>торг</w:t>
      </w:r>
      <w:r w:rsidR="00A81CF5">
        <w:rPr>
          <w:rFonts w:ascii="Times New Roman" w:hAnsi="Times New Roman" w:cs="Times New Roman"/>
          <w:color w:val="000000" w:themeColor="text1"/>
          <w:sz w:val="28"/>
          <w:szCs w:val="28"/>
        </w:rPr>
        <w:t>о</w:t>
      </w:r>
      <w:r w:rsidRPr="00115C82">
        <w:rPr>
          <w:rFonts w:ascii="Times New Roman" w:hAnsi="Times New Roman" w:cs="Times New Roman"/>
          <w:color w:val="000000" w:themeColor="text1"/>
          <w:sz w:val="28"/>
          <w:szCs w:val="28"/>
        </w:rPr>
        <w:t>вельн</w:t>
      </w:r>
      <w:r w:rsidR="00A81CF5">
        <w:rPr>
          <w:rFonts w:ascii="Times New Roman" w:hAnsi="Times New Roman" w:cs="Times New Roman"/>
          <w:color w:val="000000" w:themeColor="text1"/>
          <w:sz w:val="28"/>
          <w:szCs w:val="28"/>
        </w:rPr>
        <w:t>і</w:t>
      </w:r>
      <w:r w:rsidRPr="00115C82">
        <w:rPr>
          <w:rFonts w:ascii="Times New Roman" w:hAnsi="Times New Roman" w:cs="Times New Roman"/>
          <w:color w:val="000000" w:themeColor="text1"/>
          <w:sz w:val="28"/>
          <w:szCs w:val="28"/>
        </w:rPr>
        <w:t xml:space="preserve"> бар'єр</w:t>
      </w:r>
      <w:r w:rsidR="00A81CF5">
        <w:rPr>
          <w:rFonts w:ascii="Times New Roman" w:hAnsi="Times New Roman" w:cs="Times New Roman"/>
          <w:color w:val="000000" w:themeColor="text1"/>
          <w:sz w:val="28"/>
          <w:szCs w:val="28"/>
        </w:rPr>
        <w:t>и</w:t>
      </w:r>
      <w:r w:rsidRPr="00115C82">
        <w:rPr>
          <w:rFonts w:ascii="Times New Roman" w:hAnsi="Times New Roman" w:cs="Times New Roman"/>
          <w:color w:val="000000" w:themeColor="text1"/>
          <w:sz w:val="28"/>
          <w:szCs w:val="28"/>
        </w:rPr>
        <w:t xml:space="preserve"> та </w:t>
      </w:r>
      <w:r w:rsidR="00A81CF5">
        <w:rPr>
          <w:rFonts w:ascii="Times New Roman" w:hAnsi="Times New Roman" w:cs="Times New Roman"/>
          <w:color w:val="000000" w:themeColor="text1"/>
          <w:sz w:val="28"/>
          <w:szCs w:val="28"/>
        </w:rPr>
        <w:t xml:space="preserve">стимулювати </w:t>
      </w:r>
      <w:r w:rsidRPr="00115C82">
        <w:rPr>
          <w:rFonts w:ascii="Times New Roman" w:hAnsi="Times New Roman" w:cs="Times New Roman"/>
          <w:color w:val="000000" w:themeColor="text1"/>
          <w:sz w:val="28"/>
          <w:szCs w:val="28"/>
        </w:rPr>
        <w:t xml:space="preserve">зростання експорту. Однак вище перераховані та інші короткострокові заходи не є достатніми для виходу </w:t>
      </w:r>
      <w:proofErr w:type="spellStart"/>
      <w:r w:rsidRPr="00115C82">
        <w:rPr>
          <w:rFonts w:ascii="Times New Roman" w:hAnsi="Times New Roman" w:cs="Times New Roman"/>
          <w:color w:val="000000" w:themeColor="text1"/>
          <w:sz w:val="28"/>
          <w:szCs w:val="28"/>
        </w:rPr>
        <w:t>країни</w:t>
      </w:r>
      <w:proofErr w:type="spellEnd"/>
      <w:r w:rsidRPr="00115C82">
        <w:rPr>
          <w:rFonts w:ascii="Times New Roman" w:hAnsi="Times New Roman" w:cs="Times New Roman"/>
          <w:color w:val="000000" w:themeColor="text1"/>
          <w:sz w:val="28"/>
          <w:szCs w:val="28"/>
        </w:rPr>
        <w:t xml:space="preserve"> з </w:t>
      </w:r>
      <w:proofErr w:type="spellStart"/>
      <w:r w:rsidRPr="00115C82">
        <w:rPr>
          <w:rFonts w:ascii="Times New Roman" w:hAnsi="Times New Roman" w:cs="Times New Roman"/>
          <w:color w:val="000000" w:themeColor="text1"/>
          <w:sz w:val="28"/>
          <w:szCs w:val="28"/>
        </w:rPr>
        <w:t>боргової</w:t>
      </w:r>
      <w:proofErr w:type="spellEnd"/>
      <w:r w:rsidRPr="00115C82">
        <w:rPr>
          <w:rFonts w:ascii="Times New Roman" w:hAnsi="Times New Roman" w:cs="Times New Roman"/>
          <w:color w:val="000000" w:themeColor="text1"/>
          <w:sz w:val="28"/>
          <w:szCs w:val="28"/>
        </w:rPr>
        <w:t xml:space="preserve"> кризи, а отже, наявні структурні </w:t>
      </w:r>
      <w:proofErr w:type="spellStart"/>
      <w:r w:rsidR="00A81CF5">
        <w:rPr>
          <w:rFonts w:ascii="Times New Roman" w:hAnsi="Times New Roman" w:cs="Times New Roman"/>
          <w:color w:val="000000" w:themeColor="text1"/>
          <w:sz w:val="28"/>
          <w:szCs w:val="28"/>
        </w:rPr>
        <w:t>дизбаланси</w:t>
      </w:r>
      <w:proofErr w:type="spellEnd"/>
      <w:r w:rsidR="00A81CF5">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економі</w:t>
      </w:r>
      <w:r w:rsidR="00A81CF5">
        <w:rPr>
          <w:rFonts w:ascii="Times New Roman" w:hAnsi="Times New Roman" w:cs="Times New Roman"/>
          <w:color w:val="000000" w:themeColor="text1"/>
          <w:sz w:val="28"/>
          <w:szCs w:val="28"/>
        </w:rPr>
        <w:t>ки</w:t>
      </w:r>
      <w:r w:rsidRPr="00115C82">
        <w:rPr>
          <w:rFonts w:ascii="Times New Roman" w:hAnsi="Times New Roman" w:cs="Times New Roman"/>
          <w:color w:val="000000" w:themeColor="text1"/>
          <w:sz w:val="28"/>
          <w:szCs w:val="28"/>
        </w:rPr>
        <w:t xml:space="preserve"> </w:t>
      </w:r>
      <w:proofErr w:type="spellStart"/>
      <w:r w:rsidRPr="00115C82">
        <w:rPr>
          <w:rFonts w:ascii="Times New Roman" w:hAnsi="Times New Roman" w:cs="Times New Roman"/>
          <w:color w:val="000000" w:themeColor="text1"/>
          <w:sz w:val="28"/>
          <w:szCs w:val="28"/>
        </w:rPr>
        <w:t>Греції</w:t>
      </w:r>
      <w:proofErr w:type="spellEnd"/>
      <w:r w:rsidRPr="00115C82">
        <w:rPr>
          <w:rFonts w:ascii="Times New Roman" w:hAnsi="Times New Roman" w:cs="Times New Roman"/>
          <w:color w:val="000000" w:themeColor="text1"/>
          <w:sz w:val="28"/>
          <w:szCs w:val="28"/>
        </w:rPr>
        <w:t xml:space="preserve"> </w:t>
      </w:r>
      <w:r w:rsidR="00A81CF5">
        <w:rPr>
          <w:rFonts w:ascii="Times New Roman" w:hAnsi="Times New Roman" w:cs="Times New Roman"/>
          <w:color w:val="000000" w:themeColor="text1"/>
          <w:sz w:val="28"/>
          <w:szCs w:val="28"/>
        </w:rPr>
        <w:t xml:space="preserve">(наприклад – </w:t>
      </w:r>
      <w:proofErr w:type="spellStart"/>
      <w:r w:rsidR="00A81CF5">
        <w:rPr>
          <w:rFonts w:ascii="Times New Roman" w:hAnsi="Times New Roman" w:cs="Times New Roman"/>
          <w:color w:val="000000" w:themeColor="text1"/>
          <w:sz w:val="28"/>
          <w:szCs w:val="28"/>
        </w:rPr>
        <w:t>моноструктурна</w:t>
      </w:r>
      <w:proofErr w:type="spellEnd"/>
      <w:r w:rsidR="00A81CF5">
        <w:rPr>
          <w:rFonts w:ascii="Times New Roman" w:hAnsi="Times New Roman" w:cs="Times New Roman"/>
          <w:color w:val="000000" w:themeColor="text1"/>
          <w:sz w:val="28"/>
          <w:szCs w:val="28"/>
        </w:rPr>
        <w:t xml:space="preserve">, аграрна спеціалізація її економіки та низька продуктивність праці) </w:t>
      </w:r>
      <w:r w:rsidRPr="00115C82">
        <w:rPr>
          <w:rFonts w:ascii="Times New Roman" w:hAnsi="Times New Roman" w:cs="Times New Roman"/>
          <w:color w:val="000000" w:themeColor="text1"/>
          <w:sz w:val="28"/>
          <w:szCs w:val="28"/>
        </w:rPr>
        <w:t>збер</w:t>
      </w:r>
      <w:r w:rsidR="00A81CF5">
        <w:rPr>
          <w:rFonts w:ascii="Times New Roman" w:hAnsi="Times New Roman" w:cs="Times New Roman"/>
          <w:color w:val="000000" w:themeColor="text1"/>
          <w:sz w:val="28"/>
          <w:szCs w:val="28"/>
        </w:rPr>
        <w:t xml:space="preserve">ігаються </w:t>
      </w:r>
      <w:r w:rsidRPr="00115C82">
        <w:rPr>
          <w:rFonts w:ascii="Times New Roman" w:hAnsi="Times New Roman" w:cs="Times New Roman"/>
          <w:color w:val="000000" w:themeColor="text1"/>
          <w:sz w:val="28"/>
          <w:szCs w:val="28"/>
        </w:rPr>
        <w:t xml:space="preserve">та потребують </w:t>
      </w:r>
      <w:proofErr w:type="spellStart"/>
      <w:r w:rsidRPr="00115C82">
        <w:rPr>
          <w:rFonts w:ascii="Times New Roman" w:hAnsi="Times New Roman" w:cs="Times New Roman"/>
          <w:color w:val="000000" w:themeColor="text1"/>
          <w:sz w:val="28"/>
          <w:szCs w:val="28"/>
        </w:rPr>
        <w:t>негайного</w:t>
      </w:r>
      <w:proofErr w:type="spellEnd"/>
      <w:r w:rsidRPr="00115C82">
        <w:rPr>
          <w:rFonts w:ascii="Times New Roman" w:hAnsi="Times New Roman" w:cs="Times New Roman"/>
          <w:color w:val="000000" w:themeColor="text1"/>
          <w:sz w:val="28"/>
          <w:szCs w:val="28"/>
        </w:rPr>
        <w:t xml:space="preserve"> вирішення.</w:t>
      </w:r>
      <w:r w:rsidR="00A81CF5">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 xml:space="preserve"> </w:t>
      </w:r>
    </w:p>
    <w:p w:rsidR="00E77D51" w:rsidRDefault="00A81CF5" w:rsidP="005254DB">
      <w:pPr>
        <w:spacing w:line="360" w:lineRule="auto"/>
        <w:ind w:firstLine="284"/>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lastRenderedPageBreak/>
        <w:t xml:space="preserve">Масові, багатотисячні протести населення Греції наприкінці 2017 р. проти запровадження чергових заходів політики «затягування пасків», що відбулися у </w:t>
      </w:r>
      <w:r w:rsidR="00FF10AC" w:rsidRPr="00115C82">
        <w:rPr>
          <w:rFonts w:ascii="Times New Roman" w:hAnsi="Times New Roman" w:cs="Times New Roman"/>
          <w:color w:val="000000" w:themeColor="text1"/>
          <w:sz w:val="28"/>
          <w:szCs w:val="28"/>
        </w:rPr>
        <w:t>Афінах і Салоніках</w:t>
      </w:r>
      <w:r>
        <w:rPr>
          <w:rFonts w:ascii="Times New Roman" w:hAnsi="Times New Roman" w:cs="Times New Roman"/>
          <w:color w:val="000000" w:themeColor="text1"/>
          <w:sz w:val="28"/>
          <w:szCs w:val="28"/>
        </w:rPr>
        <w:t xml:space="preserve">, призвели до ухвалення </w:t>
      </w:r>
      <w:r w:rsidR="00FF10AC" w:rsidRPr="00115C82">
        <w:rPr>
          <w:rFonts w:ascii="Times New Roman" w:hAnsi="Times New Roman" w:cs="Times New Roman"/>
          <w:color w:val="000000" w:themeColor="text1"/>
          <w:sz w:val="28"/>
          <w:szCs w:val="28"/>
        </w:rPr>
        <w:t>парламент</w:t>
      </w:r>
      <w:r>
        <w:rPr>
          <w:rFonts w:ascii="Times New Roman" w:hAnsi="Times New Roman" w:cs="Times New Roman"/>
          <w:color w:val="000000" w:themeColor="text1"/>
          <w:sz w:val="28"/>
          <w:szCs w:val="28"/>
        </w:rPr>
        <w:t>ом</w:t>
      </w:r>
      <w:r w:rsidR="00FF10AC" w:rsidRPr="00115C82">
        <w:rPr>
          <w:rFonts w:ascii="Times New Roman" w:hAnsi="Times New Roman" w:cs="Times New Roman"/>
          <w:color w:val="000000" w:themeColor="text1"/>
          <w:sz w:val="28"/>
          <w:szCs w:val="28"/>
        </w:rPr>
        <w:t xml:space="preserve"> Греції масштабн</w:t>
      </w:r>
      <w:r>
        <w:rPr>
          <w:rFonts w:ascii="Times New Roman" w:hAnsi="Times New Roman" w:cs="Times New Roman"/>
          <w:color w:val="000000" w:themeColor="text1"/>
          <w:sz w:val="28"/>
          <w:szCs w:val="28"/>
        </w:rPr>
        <w:t>ого</w:t>
      </w:r>
      <w:r w:rsidR="00FF10AC" w:rsidRPr="00115C82">
        <w:rPr>
          <w:rFonts w:ascii="Times New Roman" w:hAnsi="Times New Roman" w:cs="Times New Roman"/>
          <w:color w:val="000000" w:themeColor="text1"/>
          <w:sz w:val="28"/>
          <w:szCs w:val="28"/>
        </w:rPr>
        <w:t xml:space="preserve"> пакет</w:t>
      </w:r>
      <w:r>
        <w:rPr>
          <w:rFonts w:ascii="Times New Roman" w:hAnsi="Times New Roman" w:cs="Times New Roman"/>
          <w:color w:val="000000" w:themeColor="text1"/>
          <w:sz w:val="28"/>
          <w:szCs w:val="28"/>
        </w:rPr>
        <w:t>у</w:t>
      </w:r>
      <w:r w:rsidR="00FF10AC" w:rsidRPr="00115C82">
        <w:rPr>
          <w:rFonts w:ascii="Times New Roman" w:hAnsi="Times New Roman" w:cs="Times New Roman"/>
          <w:color w:val="000000" w:themeColor="text1"/>
          <w:sz w:val="28"/>
          <w:szCs w:val="28"/>
        </w:rPr>
        <w:t xml:space="preserve"> жорстких реформ та обмеження права </w:t>
      </w:r>
      <w:r>
        <w:rPr>
          <w:rFonts w:ascii="Times New Roman" w:hAnsi="Times New Roman" w:cs="Times New Roman"/>
          <w:color w:val="000000" w:themeColor="text1"/>
          <w:sz w:val="28"/>
          <w:szCs w:val="28"/>
        </w:rPr>
        <w:t xml:space="preserve">громадян </w:t>
      </w:r>
      <w:r w:rsidR="00FF10AC" w:rsidRPr="00115C82">
        <w:rPr>
          <w:rFonts w:ascii="Times New Roman" w:hAnsi="Times New Roman" w:cs="Times New Roman"/>
          <w:color w:val="000000" w:themeColor="text1"/>
          <w:sz w:val="28"/>
          <w:szCs w:val="28"/>
        </w:rPr>
        <w:t xml:space="preserve">на страйк. На думку уряду Греції, цей пакет </w:t>
      </w:r>
      <w:r w:rsidR="00E77D51">
        <w:rPr>
          <w:rFonts w:ascii="Times New Roman" w:hAnsi="Times New Roman" w:cs="Times New Roman"/>
          <w:color w:val="000000" w:themeColor="text1"/>
          <w:sz w:val="28"/>
          <w:szCs w:val="28"/>
        </w:rPr>
        <w:t xml:space="preserve">реформ (від 15.01.2018 р.) </w:t>
      </w:r>
      <w:r w:rsidR="00FF10AC" w:rsidRPr="00115C82">
        <w:rPr>
          <w:rFonts w:ascii="Times New Roman" w:hAnsi="Times New Roman" w:cs="Times New Roman"/>
          <w:color w:val="000000" w:themeColor="text1"/>
          <w:sz w:val="28"/>
          <w:szCs w:val="28"/>
        </w:rPr>
        <w:t>призведе до останнього</w:t>
      </w:r>
      <w:r>
        <w:rPr>
          <w:rFonts w:ascii="Times New Roman" w:hAnsi="Times New Roman" w:cs="Times New Roman"/>
          <w:color w:val="000000" w:themeColor="text1"/>
          <w:sz w:val="28"/>
          <w:szCs w:val="28"/>
        </w:rPr>
        <w:t>,</w:t>
      </w:r>
      <w:r w:rsidR="00FF10AC" w:rsidRPr="00115C82">
        <w:rPr>
          <w:rFonts w:ascii="Times New Roman" w:hAnsi="Times New Roman" w:cs="Times New Roman"/>
          <w:color w:val="000000" w:themeColor="text1"/>
          <w:sz w:val="28"/>
          <w:szCs w:val="28"/>
        </w:rPr>
        <w:t xml:space="preserve"> значного скорочення витрат та </w:t>
      </w:r>
      <w:r w:rsidR="00E77D51">
        <w:rPr>
          <w:rFonts w:ascii="Times New Roman" w:hAnsi="Times New Roman" w:cs="Times New Roman"/>
          <w:color w:val="000000" w:themeColor="text1"/>
          <w:sz w:val="28"/>
          <w:szCs w:val="28"/>
        </w:rPr>
        <w:t xml:space="preserve">до запровадження </w:t>
      </w:r>
      <w:r w:rsidR="00FF10AC" w:rsidRPr="00115C82">
        <w:rPr>
          <w:rFonts w:ascii="Times New Roman" w:hAnsi="Times New Roman" w:cs="Times New Roman"/>
          <w:color w:val="000000" w:themeColor="text1"/>
          <w:sz w:val="28"/>
          <w:szCs w:val="28"/>
        </w:rPr>
        <w:t xml:space="preserve">реформ, які країна має </w:t>
      </w:r>
      <w:r w:rsidR="00E77D51">
        <w:rPr>
          <w:rFonts w:ascii="Times New Roman" w:hAnsi="Times New Roman" w:cs="Times New Roman"/>
          <w:color w:val="000000" w:themeColor="text1"/>
          <w:sz w:val="28"/>
          <w:szCs w:val="28"/>
        </w:rPr>
        <w:t xml:space="preserve">здійснити </w:t>
      </w:r>
      <w:r w:rsidR="00FF10AC" w:rsidRPr="00115C82">
        <w:rPr>
          <w:rFonts w:ascii="Times New Roman" w:hAnsi="Times New Roman" w:cs="Times New Roman"/>
          <w:color w:val="000000" w:themeColor="text1"/>
          <w:sz w:val="28"/>
          <w:szCs w:val="28"/>
        </w:rPr>
        <w:t xml:space="preserve">до закінчення у серпні </w:t>
      </w:r>
      <w:r>
        <w:rPr>
          <w:rFonts w:ascii="Times New Roman" w:hAnsi="Times New Roman" w:cs="Times New Roman"/>
          <w:color w:val="000000" w:themeColor="text1"/>
          <w:sz w:val="28"/>
          <w:szCs w:val="28"/>
        </w:rPr>
        <w:t>2018 р.</w:t>
      </w:r>
      <w:r w:rsidR="00E77D51">
        <w:rPr>
          <w:rFonts w:ascii="Times New Roman" w:hAnsi="Times New Roman" w:cs="Times New Roman"/>
          <w:color w:val="000000" w:themeColor="text1"/>
          <w:sz w:val="28"/>
          <w:szCs w:val="28"/>
        </w:rPr>
        <w:t xml:space="preserve"> </w:t>
      </w:r>
      <w:r w:rsidR="00FF10AC" w:rsidRPr="00115C82">
        <w:rPr>
          <w:rFonts w:ascii="Times New Roman" w:hAnsi="Times New Roman" w:cs="Times New Roman"/>
          <w:color w:val="000000" w:themeColor="text1"/>
          <w:sz w:val="28"/>
          <w:szCs w:val="28"/>
        </w:rPr>
        <w:t xml:space="preserve">міжнародної програми </w:t>
      </w:r>
      <w:r w:rsidR="00E77D51">
        <w:rPr>
          <w:rFonts w:ascii="Times New Roman" w:hAnsi="Times New Roman" w:cs="Times New Roman"/>
          <w:color w:val="000000" w:themeColor="text1"/>
          <w:sz w:val="28"/>
          <w:szCs w:val="28"/>
        </w:rPr>
        <w:t xml:space="preserve">фінансової </w:t>
      </w:r>
      <w:r w:rsidR="00FF10AC" w:rsidRPr="00115C82">
        <w:rPr>
          <w:rFonts w:ascii="Times New Roman" w:hAnsi="Times New Roman" w:cs="Times New Roman"/>
          <w:color w:val="000000" w:themeColor="text1"/>
          <w:sz w:val="28"/>
          <w:szCs w:val="28"/>
        </w:rPr>
        <w:t xml:space="preserve">допомоги. Пакет заходів жорсткої економії включає </w:t>
      </w:r>
      <w:r w:rsidR="00E77D51">
        <w:rPr>
          <w:rFonts w:ascii="Times New Roman" w:hAnsi="Times New Roman" w:cs="Times New Roman"/>
          <w:color w:val="000000" w:themeColor="text1"/>
          <w:sz w:val="28"/>
          <w:szCs w:val="28"/>
        </w:rPr>
        <w:t xml:space="preserve">і </w:t>
      </w:r>
      <w:r w:rsidR="00FF10AC" w:rsidRPr="00115C82">
        <w:rPr>
          <w:rFonts w:ascii="Times New Roman" w:hAnsi="Times New Roman" w:cs="Times New Roman"/>
          <w:color w:val="000000" w:themeColor="text1"/>
          <w:sz w:val="28"/>
          <w:szCs w:val="28"/>
        </w:rPr>
        <w:t>вимоги міжнародних кредиторів Греції щодо прискорення аукціонів продажу майна збанкрутілих власників</w:t>
      </w:r>
      <w:r w:rsidR="00E77D51">
        <w:rPr>
          <w:rFonts w:ascii="Times New Roman" w:hAnsi="Times New Roman" w:cs="Times New Roman"/>
          <w:color w:val="000000" w:themeColor="text1"/>
          <w:sz w:val="28"/>
          <w:szCs w:val="28"/>
        </w:rPr>
        <w:t xml:space="preserve">, внесення </w:t>
      </w:r>
      <w:r w:rsidR="00FF10AC" w:rsidRPr="00115C82">
        <w:rPr>
          <w:rFonts w:ascii="Times New Roman" w:hAnsi="Times New Roman" w:cs="Times New Roman"/>
          <w:color w:val="000000" w:themeColor="text1"/>
          <w:sz w:val="28"/>
          <w:szCs w:val="28"/>
        </w:rPr>
        <w:t xml:space="preserve">змін до трудового законодавства, що </w:t>
      </w:r>
      <w:r w:rsidR="00E77D51">
        <w:rPr>
          <w:rFonts w:ascii="Times New Roman" w:hAnsi="Times New Roman" w:cs="Times New Roman"/>
          <w:color w:val="000000" w:themeColor="text1"/>
          <w:sz w:val="28"/>
          <w:szCs w:val="28"/>
        </w:rPr>
        <w:t xml:space="preserve">обмежить роль </w:t>
      </w:r>
      <w:r w:rsidR="00FF10AC" w:rsidRPr="00115C82">
        <w:rPr>
          <w:rFonts w:ascii="Times New Roman" w:hAnsi="Times New Roman" w:cs="Times New Roman"/>
          <w:color w:val="000000" w:themeColor="text1"/>
          <w:sz w:val="28"/>
          <w:szCs w:val="28"/>
        </w:rPr>
        <w:t>профспіл</w:t>
      </w:r>
      <w:r w:rsidR="00E77D51">
        <w:rPr>
          <w:rFonts w:ascii="Times New Roman" w:hAnsi="Times New Roman" w:cs="Times New Roman"/>
          <w:color w:val="000000" w:themeColor="text1"/>
          <w:sz w:val="28"/>
          <w:szCs w:val="28"/>
        </w:rPr>
        <w:t xml:space="preserve">ок та </w:t>
      </w:r>
      <w:proofErr w:type="spellStart"/>
      <w:r w:rsidR="00E77D51">
        <w:rPr>
          <w:rFonts w:ascii="Times New Roman" w:hAnsi="Times New Roman" w:cs="Times New Roman"/>
          <w:color w:val="000000" w:themeColor="text1"/>
          <w:sz w:val="28"/>
          <w:szCs w:val="28"/>
        </w:rPr>
        <w:t>унеможливіть</w:t>
      </w:r>
      <w:proofErr w:type="spellEnd"/>
      <w:r w:rsidR="00E77D51">
        <w:rPr>
          <w:rFonts w:ascii="Times New Roman" w:hAnsi="Times New Roman" w:cs="Times New Roman"/>
          <w:color w:val="000000" w:themeColor="text1"/>
          <w:sz w:val="28"/>
          <w:szCs w:val="28"/>
        </w:rPr>
        <w:t xml:space="preserve"> </w:t>
      </w:r>
      <w:r w:rsidR="00FF10AC" w:rsidRPr="00115C82">
        <w:rPr>
          <w:rFonts w:ascii="Times New Roman" w:hAnsi="Times New Roman" w:cs="Times New Roman"/>
          <w:color w:val="000000" w:themeColor="text1"/>
          <w:sz w:val="28"/>
          <w:szCs w:val="28"/>
        </w:rPr>
        <w:t>страйк</w:t>
      </w:r>
      <w:r w:rsidR="00E77D51">
        <w:rPr>
          <w:rFonts w:ascii="Times New Roman" w:hAnsi="Times New Roman" w:cs="Times New Roman"/>
          <w:color w:val="000000" w:themeColor="text1"/>
          <w:sz w:val="28"/>
          <w:szCs w:val="28"/>
        </w:rPr>
        <w:t>и</w:t>
      </w:r>
      <w:r w:rsidR="00FF10AC" w:rsidRPr="00115C82">
        <w:rPr>
          <w:rFonts w:ascii="Times New Roman" w:hAnsi="Times New Roman" w:cs="Times New Roman"/>
          <w:color w:val="000000" w:themeColor="text1"/>
          <w:sz w:val="28"/>
          <w:szCs w:val="28"/>
        </w:rPr>
        <w:t xml:space="preserve">. </w:t>
      </w:r>
      <w:r w:rsidR="00E77D51">
        <w:rPr>
          <w:rFonts w:ascii="Times New Roman" w:hAnsi="Times New Roman" w:cs="Times New Roman"/>
          <w:color w:val="000000" w:themeColor="text1"/>
          <w:sz w:val="28"/>
          <w:szCs w:val="28"/>
        </w:rPr>
        <w:t>Водночас, експерти зазначають, що тільки за рахунок відродження економічної активності, розви</w:t>
      </w:r>
      <w:r w:rsidR="00EE15B0">
        <w:rPr>
          <w:rFonts w:ascii="Times New Roman" w:hAnsi="Times New Roman" w:cs="Times New Roman"/>
          <w:color w:val="000000" w:themeColor="text1"/>
          <w:sz w:val="28"/>
          <w:szCs w:val="28"/>
        </w:rPr>
        <w:t xml:space="preserve">тку </w:t>
      </w:r>
      <w:r w:rsidR="00E77D51">
        <w:rPr>
          <w:rFonts w:ascii="Times New Roman" w:hAnsi="Times New Roman" w:cs="Times New Roman"/>
          <w:color w:val="000000" w:themeColor="text1"/>
          <w:sz w:val="28"/>
          <w:szCs w:val="28"/>
        </w:rPr>
        <w:t xml:space="preserve">бізнесу та </w:t>
      </w:r>
      <w:r w:rsidR="00EE15B0">
        <w:rPr>
          <w:rFonts w:ascii="Times New Roman" w:hAnsi="Times New Roman" w:cs="Times New Roman"/>
          <w:color w:val="000000" w:themeColor="text1"/>
          <w:sz w:val="28"/>
          <w:szCs w:val="28"/>
        </w:rPr>
        <w:t xml:space="preserve">переходу до </w:t>
      </w:r>
      <w:r w:rsidR="00E77D51">
        <w:rPr>
          <w:rFonts w:ascii="Times New Roman" w:hAnsi="Times New Roman" w:cs="Times New Roman"/>
          <w:color w:val="000000" w:themeColor="text1"/>
          <w:sz w:val="28"/>
          <w:szCs w:val="28"/>
        </w:rPr>
        <w:t>економічного зростання Греція може подолати проблему зовнішньої заборгованості.</w:t>
      </w:r>
    </w:p>
    <w:p w:rsidR="001C721A" w:rsidRPr="00115C82" w:rsidRDefault="001C721A" w:rsidP="001C721A">
      <w:pPr>
        <w:spacing w:line="360" w:lineRule="auto"/>
        <w:jc w:val="both"/>
        <w:rPr>
          <w:rFonts w:ascii="Times New Roman" w:hAnsi="Times New Roman" w:cs="Times New Roman"/>
          <w:color w:val="000000" w:themeColor="text1"/>
          <w:sz w:val="28"/>
          <w:szCs w:val="28"/>
        </w:rPr>
      </w:pPr>
      <w:r w:rsidRPr="00115C82">
        <w:rPr>
          <w:rFonts w:ascii="Times New Roman" w:hAnsi="Times New Roman" w:cs="Times New Roman"/>
          <w:color w:val="000000" w:themeColor="text1"/>
          <w:sz w:val="28"/>
          <w:szCs w:val="28"/>
        </w:rPr>
        <w:t> </w:t>
      </w:r>
      <w:r w:rsidRPr="00115C82">
        <w:rPr>
          <w:rFonts w:ascii="Times New Roman" w:hAnsi="Times New Roman" w:cs="Times New Roman"/>
          <w:noProof/>
          <w:color w:val="000000" w:themeColor="text1"/>
          <w:sz w:val="28"/>
          <w:szCs w:val="28"/>
          <w:lang w:val="ru-RU"/>
        </w:rPr>
        <w:drawing>
          <wp:inline distT="0" distB="0" distL="0" distR="0">
            <wp:extent cx="2925445" cy="386655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A7F03">
        <w:rPr>
          <w:rFonts w:ascii="Times New Roman" w:hAnsi="Times New Roman" w:cs="Times New Roman"/>
          <w:noProof/>
          <w:color w:val="000000" w:themeColor="text1"/>
          <w:sz w:val="28"/>
          <w:szCs w:val="28"/>
          <w:lang w:val="ru-RU"/>
        </w:rPr>
        <w:t xml:space="preserve"> </w:t>
      </w:r>
      <w:r w:rsidRPr="00115C82">
        <w:rPr>
          <w:rFonts w:ascii="Times New Roman" w:hAnsi="Times New Roman" w:cs="Times New Roman"/>
          <w:noProof/>
          <w:color w:val="000000" w:themeColor="text1"/>
          <w:sz w:val="28"/>
          <w:szCs w:val="28"/>
          <w:lang w:val="ru-RU"/>
        </w:rPr>
        <w:drawing>
          <wp:inline distT="0" distB="0" distL="0" distR="0">
            <wp:extent cx="2745105" cy="386887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7F03" w:rsidRDefault="004A7F03" w:rsidP="001C721A">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Рис.3.а                                                          Рис. 3.б</w:t>
      </w:r>
    </w:p>
    <w:p w:rsidR="001C721A" w:rsidRPr="00115C82" w:rsidRDefault="001C721A" w:rsidP="001C721A">
      <w:pPr>
        <w:spacing w:line="360" w:lineRule="auto"/>
        <w:jc w:val="both"/>
        <w:rPr>
          <w:rFonts w:ascii="Times New Roman" w:hAnsi="Times New Roman" w:cs="Times New Roman"/>
          <w:b/>
          <w:color w:val="000000" w:themeColor="text1"/>
          <w:sz w:val="28"/>
          <w:szCs w:val="28"/>
        </w:rPr>
      </w:pPr>
      <w:r w:rsidRPr="00115C82">
        <w:rPr>
          <w:rFonts w:ascii="Times New Roman" w:hAnsi="Times New Roman" w:cs="Times New Roman"/>
          <w:b/>
          <w:color w:val="000000" w:themeColor="text1"/>
          <w:sz w:val="28"/>
          <w:szCs w:val="28"/>
        </w:rPr>
        <w:t xml:space="preserve">Рис. 3. Динаміка зовнішнього боргу Греції </w:t>
      </w:r>
      <w:r w:rsidR="004A7F03">
        <w:rPr>
          <w:rFonts w:ascii="Times New Roman" w:hAnsi="Times New Roman" w:cs="Times New Roman"/>
          <w:b/>
          <w:color w:val="000000" w:themeColor="text1"/>
          <w:sz w:val="28"/>
          <w:szCs w:val="28"/>
        </w:rPr>
        <w:t xml:space="preserve">(3.а) </w:t>
      </w:r>
      <w:r w:rsidRPr="00115C82">
        <w:rPr>
          <w:rFonts w:ascii="Times New Roman" w:hAnsi="Times New Roman" w:cs="Times New Roman"/>
          <w:b/>
          <w:color w:val="000000" w:themeColor="text1"/>
          <w:sz w:val="28"/>
          <w:szCs w:val="28"/>
        </w:rPr>
        <w:t xml:space="preserve">та Ірландії </w:t>
      </w:r>
      <w:r w:rsidR="004A7F03">
        <w:rPr>
          <w:rFonts w:ascii="Times New Roman" w:hAnsi="Times New Roman" w:cs="Times New Roman"/>
          <w:b/>
          <w:color w:val="000000" w:themeColor="text1"/>
          <w:sz w:val="28"/>
          <w:szCs w:val="28"/>
        </w:rPr>
        <w:t xml:space="preserve">(3.б) </w:t>
      </w:r>
      <w:r w:rsidRPr="00115C82">
        <w:rPr>
          <w:rFonts w:ascii="Times New Roman" w:hAnsi="Times New Roman" w:cs="Times New Roman"/>
          <w:b/>
          <w:color w:val="000000" w:themeColor="text1"/>
          <w:sz w:val="28"/>
          <w:szCs w:val="28"/>
        </w:rPr>
        <w:t xml:space="preserve">за період 2010-2017 рр. (у відсотках (%) до ВВП).  </w:t>
      </w:r>
    </w:p>
    <w:p w:rsidR="001C721A" w:rsidRDefault="00D96352" w:rsidP="001C721A">
      <w:pPr>
        <w:spacing w:line="360" w:lineRule="auto"/>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lastRenderedPageBreak/>
        <w:t>Джерело: п</w:t>
      </w:r>
      <w:r w:rsidR="001C721A" w:rsidRPr="00115C82">
        <w:rPr>
          <w:rFonts w:ascii="Times New Roman" w:hAnsi="Times New Roman" w:cs="Times New Roman"/>
          <w:color w:val="000000" w:themeColor="text1"/>
          <w:sz w:val="28"/>
          <w:szCs w:val="28"/>
        </w:rPr>
        <w:t xml:space="preserve">обудовано </w:t>
      </w:r>
      <w:r w:rsidR="00E77D51">
        <w:rPr>
          <w:rFonts w:ascii="Times New Roman" w:hAnsi="Times New Roman" w:cs="Times New Roman"/>
          <w:color w:val="000000" w:themeColor="text1"/>
          <w:sz w:val="28"/>
          <w:szCs w:val="28"/>
        </w:rPr>
        <w:t>з</w:t>
      </w:r>
      <w:r w:rsidR="001C721A" w:rsidRPr="00115C82">
        <w:rPr>
          <w:rFonts w:ascii="Times New Roman" w:hAnsi="Times New Roman" w:cs="Times New Roman"/>
          <w:color w:val="000000" w:themeColor="text1"/>
          <w:sz w:val="28"/>
          <w:szCs w:val="28"/>
        </w:rPr>
        <w:t>а даними МВФ</w:t>
      </w:r>
      <w:r w:rsidR="00E77D51">
        <w:rPr>
          <w:rFonts w:ascii="Times New Roman" w:hAnsi="Times New Roman" w:cs="Times New Roman"/>
          <w:color w:val="000000" w:themeColor="text1"/>
          <w:sz w:val="28"/>
          <w:szCs w:val="28"/>
        </w:rPr>
        <w:t xml:space="preserve"> </w:t>
      </w:r>
      <w:r w:rsidR="00E77D51" w:rsidRPr="007A384C">
        <w:rPr>
          <w:rFonts w:ascii="Times New Roman" w:hAnsi="Times New Roman" w:cs="Times New Roman"/>
          <w:noProof/>
          <w:color w:val="000000" w:themeColor="text1"/>
          <w:sz w:val="28"/>
          <w:szCs w:val="28"/>
        </w:rPr>
        <w:t>[10]</w:t>
      </w:r>
      <w:r w:rsidR="00E77D51">
        <w:rPr>
          <w:rFonts w:ascii="Times New Roman" w:hAnsi="Times New Roman" w:cs="Times New Roman"/>
          <w:noProof/>
          <w:color w:val="000000" w:themeColor="text1"/>
          <w:sz w:val="28"/>
          <w:szCs w:val="28"/>
        </w:rPr>
        <w:t>.</w:t>
      </w:r>
    </w:p>
    <w:p w:rsidR="00EE15B0" w:rsidRPr="005254DB" w:rsidRDefault="00E77D51" w:rsidP="005254DB">
      <w:pPr>
        <w:spacing w:line="360" w:lineRule="auto"/>
        <w:ind w:firstLine="284"/>
        <w:jc w:val="both"/>
        <w:rPr>
          <w:rFonts w:ascii="Times New Roman" w:hAnsi="Times New Roman" w:cs="Times New Roman"/>
          <w:sz w:val="28"/>
          <w:szCs w:val="28"/>
        </w:rPr>
      </w:pPr>
      <w:r w:rsidRPr="005254DB">
        <w:rPr>
          <w:rFonts w:ascii="Times New Roman" w:hAnsi="Times New Roman" w:cs="Times New Roman"/>
          <w:noProof/>
          <w:sz w:val="28"/>
          <w:szCs w:val="28"/>
        </w:rPr>
        <w:t xml:space="preserve">Щодо зовнішніх боргів Ірландії – слід визначти, що ця країна </w:t>
      </w:r>
      <w:r w:rsidRPr="005254DB">
        <w:rPr>
          <w:rFonts w:ascii="Times New Roman" w:hAnsi="Times New Roman" w:cs="Times New Roman"/>
          <w:sz w:val="28"/>
          <w:szCs w:val="28"/>
        </w:rPr>
        <w:t>ніколи не оголошувала дефолт</w:t>
      </w:r>
      <w:r w:rsidR="00FF10AC" w:rsidRPr="005254DB">
        <w:rPr>
          <w:rFonts w:ascii="Times New Roman" w:hAnsi="Times New Roman" w:cs="Times New Roman"/>
          <w:sz w:val="28"/>
          <w:szCs w:val="28"/>
        </w:rPr>
        <w:t xml:space="preserve">, а завжди отримувала міжнародну допомогу та домовлялася про реструктуризацію боргу зі своїми кредиторами. </w:t>
      </w:r>
      <w:r w:rsidRPr="005254DB">
        <w:rPr>
          <w:rFonts w:ascii="Times New Roman" w:hAnsi="Times New Roman" w:cs="Times New Roman"/>
          <w:sz w:val="28"/>
          <w:szCs w:val="28"/>
        </w:rPr>
        <w:t xml:space="preserve">Так, </w:t>
      </w:r>
      <w:r w:rsidR="00FF10AC" w:rsidRPr="005254DB">
        <w:rPr>
          <w:rFonts w:ascii="Times New Roman" w:hAnsi="Times New Roman" w:cs="Times New Roman"/>
          <w:sz w:val="28"/>
          <w:szCs w:val="28"/>
        </w:rPr>
        <w:t xml:space="preserve">неспроможність </w:t>
      </w:r>
      <w:r w:rsidRPr="005254DB">
        <w:rPr>
          <w:rFonts w:ascii="Times New Roman" w:hAnsi="Times New Roman" w:cs="Times New Roman"/>
          <w:noProof/>
          <w:sz w:val="28"/>
          <w:szCs w:val="28"/>
        </w:rPr>
        <w:t>Ірландії</w:t>
      </w:r>
      <w:r w:rsidRPr="005254DB">
        <w:rPr>
          <w:rFonts w:ascii="Times New Roman" w:hAnsi="Times New Roman" w:cs="Times New Roman"/>
          <w:sz w:val="28"/>
          <w:szCs w:val="28"/>
        </w:rPr>
        <w:t xml:space="preserve"> </w:t>
      </w:r>
      <w:r w:rsidR="00FF10AC" w:rsidRPr="005254DB">
        <w:rPr>
          <w:rFonts w:ascii="Times New Roman" w:hAnsi="Times New Roman" w:cs="Times New Roman"/>
          <w:sz w:val="28"/>
          <w:szCs w:val="28"/>
        </w:rPr>
        <w:t xml:space="preserve">обслуговувати свої боргові зобов’язання </w:t>
      </w:r>
      <w:r w:rsidRPr="005254DB">
        <w:rPr>
          <w:rFonts w:ascii="Times New Roman" w:hAnsi="Times New Roman" w:cs="Times New Roman"/>
          <w:sz w:val="28"/>
          <w:szCs w:val="28"/>
        </w:rPr>
        <w:t>у 2013 р. п</w:t>
      </w:r>
      <w:r w:rsidR="00FF10AC" w:rsidRPr="005254DB">
        <w:rPr>
          <w:rFonts w:ascii="Times New Roman" w:hAnsi="Times New Roman" w:cs="Times New Roman"/>
          <w:sz w:val="28"/>
          <w:szCs w:val="28"/>
        </w:rPr>
        <w:t xml:space="preserve">ризвела до необхідності реструктуризації, яка була проведена за згодою кредиторів </w:t>
      </w:r>
      <w:r w:rsidRPr="005254DB">
        <w:rPr>
          <w:rFonts w:ascii="Times New Roman" w:hAnsi="Times New Roman" w:cs="Times New Roman"/>
          <w:sz w:val="28"/>
          <w:szCs w:val="28"/>
        </w:rPr>
        <w:t xml:space="preserve">і </w:t>
      </w:r>
      <w:r w:rsidR="00FF10AC" w:rsidRPr="005254DB">
        <w:rPr>
          <w:rFonts w:ascii="Times New Roman" w:hAnsi="Times New Roman" w:cs="Times New Roman"/>
          <w:sz w:val="28"/>
          <w:szCs w:val="28"/>
        </w:rPr>
        <w:t xml:space="preserve">під зобов’язання </w:t>
      </w:r>
      <w:r w:rsidRPr="005254DB">
        <w:rPr>
          <w:rFonts w:ascii="Times New Roman" w:hAnsi="Times New Roman" w:cs="Times New Roman"/>
          <w:sz w:val="28"/>
          <w:szCs w:val="28"/>
        </w:rPr>
        <w:t xml:space="preserve">запровадити в країні </w:t>
      </w:r>
      <w:r w:rsidR="00FF10AC" w:rsidRPr="005254DB">
        <w:rPr>
          <w:rFonts w:ascii="Times New Roman" w:hAnsi="Times New Roman" w:cs="Times New Roman"/>
          <w:sz w:val="28"/>
          <w:szCs w:val="28"/>
        </w:rPr>
        <w:t xml:space="preserve">неоліберальну політику «суворої економії». Відповідна угода з Європейським центральним банком передбачала реструктуризацію боргу </w:t>
      </w:r>
      <w:r w:rsidRPr="005254DB">
        <w:rPr>
          <w:rFonts w:ascii="Times New Roman" w:hAnsi="Times New Roman" w:cs="Times New Roman"/>
          <w:sz w:val="28"/>
          <w:szCs w:val="28"/>
        </w:rPr>
        <w:t>у</w:t>
      </w:r>
      <w:r w:rsidR="00FF10AC" w:rsidRPr="005254DB">
        <w:rPr>
          <w:rFonts w:ascii="Times New Roman" w:hAnsi="Times New Roman" w:cs="Times New Roman"/>
          <w:sz w:val="28"/>
          <w:szCs w:val="28"/>
        </w:rPr>
        <w:t xml:space="preserve"> розмірі 85 мільярдів євро. Завдяки </w:t>
      </w:r>
      <w:r w:rsidRPr="005254DB">
        <w:rPr>
          <w:rFonts w:ascii="Times New Roman" w:hAnsi="Times New Roman" w:cs="Times New Roman"/>
          <w:sz w:val="28"/>
          <w:szCs w:val="28"/>
        </w:rPr>
        <w:t xml:space="preserve">грамотній реструктуризації боргів та </w:t>
      </w:r>
      <w:r w:rsidR="00FF10AC" w:rsidRPr="005254DB">
        <w:rPr>
          <w:rFonts w:ascii="Times New Roman" w:hAnsi="Times New Roman" w:cs="Times New Roman"/>
          <w:sz w:val="28"/>
          <w:szCs w:val="28"/>
        </w:rPr>
        <w:t>продовженн</w:t>
      </w:r>
      <w:r w:rsidRPr="005254DB">
        <w:rPr>
          <w:rFonts w:ascii="Times New Roman" w:hAnsi="Times New Roman" w:cs="Times New Roman"/>
          <w:sz w:val="28"/>
          <w:szCs w:val="28"/>
        </w:rPr>
        <w:t>ю</w:t>
      </w:r>
      <w:r w:rsidR="00FF10AC" w:rsidRPr="005254DB">
        <w:rPr>
          <w:rFonts w:ascii="Times New Roman" w:hAnsi="Times New Roman" w:cs="Times New Roman"/>
          <w:sz w:val="28"/>
          <w:szCs w:val="28"/>
        </w:rPr>
        <w:t xml:space="preserve"> програми кредитування </w:t>
      </w:r>
      <w:r w:rsidRPr="005254DB">
        <w:rPr>
          <w:rFonts w:ascii="Times New Roman" w:hAnsi="Times New Roman" w:cs="Times New Roman"/>
          <w:noProof/>
          <w:sz w:val="28"/>
          <w:szCs w:val="28"/>
        </w:rPr>
        <w:t>Ірландії</w:t>
      </w:r>
      <w:r w:rsidRPr="005254DB">
        <w:rPr>
          <w:rFonts w:ascii="Times New Roman" w:hAnsi="Times New Roman" w:cs="Times New Roman"/>
          <w:sz w:val="28"/>
          <w:szCs w:val="28"/>
        </w:rPr>
        <w:t xml:space="preserve"> </w:t>
      </w:r>
      <w:r w:rsidR="00FF10AC" w:rsidRPr="005254DB">
        <w:rPr>
          <w:rFonts w:ascii="Times New Roman" w:hAnsi="Times New Roman" w:cs="Times New Roman"/>
          <w:sz w:val="28"/>
          <w:szCs w:val="28"/>
        </w:rPr>
        <w:t xml:space="preserve">до 2053 року, сума виплат </w:t>
      </w:r>
      <w:r w:rsidRPr="005254DB">
        <w:rPr>
          <w:rFonts w:ascii="Times New Roman" w:hAnsi="Times New Roman" w:cs="Times New Roman"/>
          <w:sz w:val="28"/>
          <w:szCs w:val="28"/>
        </w:rPr>
        <w:t>у</w:t>
      </w:r>
      <w:r w:rsidR="00FF10AC" w:rsidRPr="005254DB">
        <w:rPr>
          <w:rFonts w:ascii="Times New Roman" w:hAnsi="Times New Roman" w:cs="Times New Roman"/>
          <w:sz w:val="28"/>
          <w:szCs w:val="28"/>
        </w:rPr>
        <w:t xml:space="preserve"> найближчі десят</w:t>
      </w:r>
      <w:r w:rsidRPr="005254DB">
        <w:rPr>
          <w:rFonts w:ascii="Times New Roman" w:hAnsi="Times New Roman" w:cs="Times New Roman"/>
          <w:sz w:val="28"/>
          <w:szCs w:val="28"/>
        </w:rPr>
        <w:t>ь років скоротиться на 20 мільяр</w:t>
      </w:r>
      <w:r w:rsidR="00FF10AC" w:rsidRPr="005254DB">
        <w:rPr>
          <w:rFonts w:ascii="Times New Roman" w:hAnsi="Times New Roman" w:cs="Times New Roman"/>
          <w:sz w:val="28"/>
          <w:szCs w:val="28"/>
        </w:rPr>
        <w:t xml:space="preserve">дів євро, </w:t>
      </w:r>
      <w:r w:rsidRPr="005254DB">
        <w:rPr>
          <w:rFonts w:ascii="Times New Roman" w:hAnsi="Times New Roman" w:cs="Times New Roman"/>
          <w:sz w:val="28"/>
          <w:szCs w:val="28"/>
        </w:rPr>
        <w:t xml:space="preserve">без </w:t>
      </w:r>
      <w:r w:rsidR="00FF10AC" w:rsidRPr="005254DB">
        <w:rPr>
          <w:rFonts w:ascii="Times New Roman" w:hAnsi="Times New Roman" w:cs="Times New Roman"/>
          <w:sz w:val="28"/>
          <w:szCs w:val="28"/>
        </w:rPr>
        <w:t>списання заборгованості</w:t>
      </w:r>
      <w:r w:rsidR="00EE15B0" w:rsidRPr="005254DB">
        <w:rPr>
          <w:rFonts w:ascii="Times New Roman" w:hAnsi="Times New Roman" w:cs="Times New Roman"/>
          <w:sz w:val="28"/>
          <w:szCs w:val="28"/>
        </w:rPr>
        <w:t xml:space="preserve"> </w:t>
      </w:r>
      <w:r w:rsidR="00EE15B0" w:rsidRPr="00B451E1">
        <w:rPr>
          <w:rFonts w:ascii="Times New Roman" w:hAnsi="Times New Roman" w:cs="Times New Roman"/>
          <w:noProof/>
          <w:sz w:val="28"/>
          <w:szCs w:val="28"/>
        </w:rPr>
        <w:t>[15].</w:t>
      </w:r>
      <w:r w:rsidR="00EE15B0" w:rsidRPr="005254DB">
        <w:rPr>
          <w:rFonts w:ascii="Times New Roman" w:hAnsi="Times New Roman" w:cs="Times New Roman"/>
          <w:noProof/>
          <w:sz w:val="28"/>
          <w:szCs w:val="28"/>
        </w:rPr>
        <w:t xml:space="preserve"> Як свідчать дані на рис. 3, динаміка зовнішньої заборгованості  Ірландії як-би «заморожена». Тобто, спостерігається певна «рецесія» як зовнішньої заборгованості, що обумовлено «вимиванням» обігових коштів країни на потреби порятунку </w:t>
      </w:r>
      <w:r w:rsidR="00EE15B0" w:rsidRPr="005254DB">
        <w:rPr>
          <w:rFonts w:ascii="Times New Roman" w:hAnsi="Times New Roman" w:cs="Times New Roman"/>
          <w:sz w:val="28"/>
          <w:szCs w:val="28"/>
        </w:rPr>
        <w:t>приватних банків (які опинилися на грані закриття) та націоналізації збиткових великих компаній приватного бізнесу. Ці питання були вирішені за рахунок бюджетних коштів та кошів платників податків, що негативно позначилось на показниках рівня життя більшості населення та рецесії економічного зростання в Ірландії</w:t>
      </w:r>
      <w:r w:rsidR="00EE15B0" w:rsidRPr="005254DB">
        <w:rPr>
          <w:rFonts w:ascii="Times New Roman" w:hAnsi="Times New Roman" w:cs="Times New Roman"/>
          <w:noProof/>
          <w:sz w:val="28"/>
          <w:szCs w:val="28"/>
        </w:rPr>
        <w:t>.</w:t>
      </w:r>
    </w:p>
    <w:p w:rsidR="00CA3F74" w:rsidRPr="005254DB" w:rsidRDefault="00620522" w:rsidP="005254DB">
      <w:pPr>
        <w:spacing w:line="360" w:lineRule="auto"/>
        <w:ind w:firstLine="284"/>
        <w:jc w:val="both"/>
        <w:rPr>
          <w:rFonts w:ascii="Times New Roman" w:hAnsi="Times New Roman" w:cs="Times New Roman"/>
          <w:noProof/>
          <w:sz w:val="28"/>
          <w:szCs w:val="28"/>
        </w:rPr>
      </w:pPr>
      <w:r w:rsidRPr="005254DB">
        <w:rPr>
          <w:rFonts w:ascii="Times New Roman" w:hAnsi="Times New Roman" w:cs="Times New Roman"/>
          <w:noProof/>
          <w:sz w:val="28"/>
          <w:szCs w:val="28"/>
        </w:rPr>
        <w:t xml:space="preserve">Натомість, заходи щодо реструктуризації зовнішнього боргу і для Греції, і для Ірландії усунули ризики настання дефолту. Дефолт </w:t>
      </w:r>
      <w:r w:rsidR="00CA3F74" w:rsidRPr="005254DB">
        <w:rPr>
          <w:rFonts w:ascii="Times New Roman" w:hAnsi="Times New Roman" w:cs="Times New Roman"/>
          <w:noProof/>
          <w:sz w:val="28"/>
          <w:szCs w:val="28"/>
        </w:rPr>
        <w:t xml:space="preserve">означає прийняття урядом країни-боржника рішення про відмову від виконання своїх боргових зобов'язань. Щодо видів, то дефолт може бути технічним або повним. Технічний дефолт </w:t>
      </w:r>
      <w:r w:rsidRPr="005254DB">
        <w:rPr>
          <w:rFonts w:ascii="Times New Roman" w:hAnsi="Times New Roman" w:cs="Times New Roman"/>
          <w:noProof/>
          <w:sz w:val="28"/>
          <w:szCs w:val="28"/>
        </w:rPr>
        <w:t xml:space="preserve">передбачає </w:t>
      </w:r>
      <w:r w:rsidR="00CA3F74" w:rsidRPr="005254DB">
        <w:rPr>
          <w:rFonts w:ascii="Times New Roman" w:hAnsi="Times New Roman" w:cs="Times New Roman"/>
          <w:noProof/>
          <w:sz w:val="28"/>
          <w:szCs w:val="28"/>
        </w:rPr>
        <w:t xml:space="preserve">невиконання позичальником </w:t>
      </w:r>
      <w:r w:rsidRPr="005254DB">
        <w:rPr>
          <w:rFonts w:ascii="Times New Roman" w:hAnsi="Times New Roman" w:cs="Times New Roman"/>
          <w:noProof/>
          <w:sz w:val="28"/>
          <w:szCs w:val="28"/>
        </w:rPr>
        <w:t xml:space="preserve">(у т.ч. країною – позичальником) </w:t>
      </w:r>
      <w:r w:rsidR="00CA3F74" w:rsidRPr="005254DB">
        <w:rPr>
          <w:rFonts w:ascii="Times New Roman" w:hAnsi="Times New Roman" w:cs="Times New Roman"/>
          <w:noProof/>
          <w:sz w:val="28"/>
          <w:szCs w:val="28"/>
        </w:rPr>
        <w:t xml:space="preserve">додаткових </w:t>
      </w:r>
      <w:r w:rsidRPr="005254DB">
        <w:rPr>
          <w:rFonts w:ascii="Times New Roman" w:hAnsi="Times New Roman" w:cs="Times New Roman"/>
          <w:noProof/>
          <w:sz w:val="28"/>
          <w:szCs w:val="28"/>
        </w:rPr>
        <w:t xml:space="preserve">умов кредитної угоди, наприклад – </w:t>
      </w:r>
      <w:r w:rsidR="00CA3F74" w:rsidRPr="005254DB">
        <w:rPr>
          <w:rFonts w:ascii="Times New Roman" w:hAnsi="Times New Roman" w:cs="Times New Roman"/>
          <w:noProof/>
          <w:sz w:val="28"/>
          <w:szCs w:val="28"/>
        </w:rPr>
        <w:t>заборону певної діяльності до повернення позики</w:t>
      </w:r>
      <w:r w:rsidRPr="005254DB">
        <w:rPr>
          <w:rFonts w:ascii="Times New Roman" w:hAnsi="Times New Roman" w:cs="Times New Roman"/>
          <w:noProof/>
          <w:sz w:val="28"/>
          <w:szCs w:val="28"/>
        </w:rPr>
        <w:t>. Серед м</w:t>
      </w:r>
      <w:r w:rsidR="00CA3F74" w:rsidRPr="005254DB">
        <w:rPr>
          <w:rFonts w:ascii="Times New Roman" w:hAnsi="Times New Roman" w:cs="Times New Roman"/>
          <w:noProof/>
          <w:sz w:val="28"/>
          <w:szCs w:val="28"/>
        </w:rPr>
        <w:t>акроекономічни</w:t>
      </w:r>
      <w:r w:rsidRPr="005254DB">
        <w:rPr>
          <w:rFonts w:ascii="Times New Roman" w:hAnsi="Times New Roman" w:cs="Times New Roman"/>
          <w:noProof/>
          <w:sz w:val="28"/>
          <w:szCs w:val="28"/>
        </w:rPr>
        <w:t>х</w:t>
      </w:r>
      <w:r w:rsidR="00CA3F74" w:rsidRPr="005254DB">
        <w:rPr>
          <w:rFonts w:ascii="Times New Roman" w:hAnsi="Times New Roman" w:cs="Times New Roman"/>
          <w:noProof/>
          <w:sz w:val="28"/>
          <w:szCs w:val="28"/>
        </w:rPr>
        <w:t xml:space="preserve"> наслідк</w:t>
      </w:r>
      <w:r w:rsidRPr="005254DB">
        <w:rPr>
          <w:rFonts w:ascii="Times New Roman" w:hAnsi="Times New Roman" w:cs="Times New Roman"/>
          <w:noProof/>
          <w:sz w:val="28"/>
          <w:szCs w:val="28"/>
        </w:rPr>
        <w:t>ів</w:t>
      </w:r>
      <w:r w:rsidR="00CA3F74" w:rsidRPr="005254DB">
        <w:rPr>
          <w:rFonts w:ascii="Times New Roman" w:hAnsi="Times New Roman" w:cs="Times New Roman"/>
          <w:noProof/>
          <w:sz w:val="28"/>
          <w:szCs w:val="28"/>
        </w:rPr>
        <w:t xml:space="preserve"> технічного дефолту </w:t>
      </w:r>
      <w:r w:rsidRPr="005254DB">
        <w:rPr>
          <w:rFonts w:ascii="Times New Roman" w:hAnsi="Times New Roman" w:cs="Times New Roman"/>
          <w:noProof/>
          <w:sz w:val="28"/>
          <w:szCs w:val="28"/>
        </w:rPr>
        <w:t xml:space="preserve">для країни називають: </w:t>
      </w:r>
      <w:r w:rsidR="00CA3F74" w:rsidRPr="005254DB">
        <w:rPr>
          <w:rFonts w:ascii="Times New Roman" w:hAnsi="Times New Roman" w:cs="Times New Roman"/>
          <w:noProof/>
          <w:sz w:val="28"/>
          <w:szCs w:val="28"/>
        </w:rPr>
        <w:t>тимчасов</w:t>
      </w:r>
      <w:r w:rsidRPr="005254DB">
        <w:rPr>
          <w:rFonts w:ascii="Times New Roman" w:hAnsi="Times New Roman" w:cs="Times New Roman"/>
          <w:noProof/>
          <w:sz w:val="28"/>
          <w:szCs w:val="28"/>
        </w:rPr>
        <w:t>у</w:t>
      </w:r>
      <w:r w:rsidR="00CA3F74" w:rsidRPr="005254DB">
        <w:rPr>
          <w:rFonts w:ascii="Times New Roman" w:hAnsi="Times New Roman" w:cs="Times New Roman"/>
          <w:noProof/>
          <w:sz w:val="28"/>
          <w:szCs w:val="28"/>
        </w:rPr>
        <w:t xml:space="preserve"> неплатоспроможність;</w:t>
      </w:r>
      <w:r w:rsidRPr="005254DB">
        <w:rPr>
          <w:rFonts w:ascii="Times New Roman" w:hAnsi="Times New Roman" w:cs="Times New Roman"/>
          <w:noProof/>
          <w:sz w:val="28"/>
          <w:szCs w:val="28"/>
        </w:rPr>
        <w:t xml:space="preserve"> м</w:t>
      </w:r>
      <w:r w:rsidR="00CA3F74" w:rsidRPr="005254DB">
        <w:rPr>
          <w:rFonts w:ascii="Times New Roman" w:hAnsi="Times New Roman" w:cs="Times New Roman"/>
          <w:noProof/>
          <w:sz w:val="28"/>
          <w:szCs w:val="28"/>
        </w:rPr>
        <w:t xml:space="preserve">ожливість </w:t>
      </w:r>
      <w:r w:rsidRPr="005254DB">
        <w:rPr>
          <w:rFonts w:ascii="Times New Roman" w:hAnsi="Times New Roman" w:cs="Times New Roman"/>
          <w:noProof/>
          <w:sz w:val="28"/>
          <w:szCs w:val="28"/>
        </w:rPr>
        <w:t xml:space="preserve">здійсювати </w:t>
      </w:r>
      <w:r w:rsidR="00CA3F74" w:rsidRPr="005254DB">
        <w:rPr>
          <w:rFonts w:ascii="Times New Roman" w:hAnsi="Times New Roman" w:cs="Times New Roman"/>
          <w:noProof/>
          <w:sz w:val="28"/>
          <w:szCs w:val="28"/>
        </w:rPr>
        <w:t>додат</w:t>
      </w:r>
      <w:r w:rsidRPr="005254DB">
        <w:rPr>
          <w:rFonts w:ascii="Times New Roman" w:hAnsi="Times New Roman" w:cs="Times New Roman"/>
          <w:noProof/>
          <w:sz w:val="28"/>
          <w:szCs w:val="28"/>
        </w:rPr>
        <w:t xml:space="preserve">кові </w:t>
      </w:r>
      <w:r w:rsidR="00CA3F74" w:rsidRPr="005254DB">
        <w:rPr>
          <w:rFonts w:ascii="Times New Roman" w:hAnsi="Times New Roman" w:cs="Times New Roman"/>
          <w:noProof/>
          <w:sz w:val="28"/>
          <w:szCs w:val="28"/>
        </w:rPr>
        <w:t>запозичен</w:t>
      </w:r>
      <w:r w:rsidRPr="005254DB">
        <w:rPr>
          <w:rFonts w:ascii="Times New Roman" w:hAnsi="Times New Roman" w:cs="Times New Roman"/>
          <w:noProof/>
          <w:sz w:val="28"/>
          <w:szCs w:val="28"/>
        </w:rPr>
        <w:t>ня</w:t>
      </w:r>
      <w:r w:rsidR="00CA3F74" w:rsidRPr="005254DB">
        <w:rPr>
          <w:rFonts w:ascii="Times New Roman" w:hAnsi="Times New Roman" w:cs="Times New Roman"/>
          <w:noProof/>
          <w:sz w:val="28"/>
          <w:szCs w:val="28"/>
        </w:rPr>
        <w:t>;</w:t>
      </w:r>
      <w:r w:rsidRPr="005254DB">
        <w:rPr>
          <w:rFonts w:ascii="Times New Roman" w:hAnsi="Times New Roman" w:cs="Times New Roman"/>
          <w:noProof/>
          <w:sz w:val="28"/>
          <w:szCs w:val="28"/>
        </w:rPr>
        <w:t xml:space="preserve"> тимчасове </w:t>
      </w:r>
      <w:r w:rsidR="00CA3F74" w:rsidRPr="005254DB">
        <w:rPr>
          <w:rFonts w:ascii="Times New Roman" w:hAnsi="Times New Roman" w:cs="Times New Roman"/>
          <w:noProof/>
          <w:sz w:val="28"/>
          <w:szCs w:val="28"/>
        </w:rPr>
        <w:t>призупинення зовнішніх виплат</w:t>
      </w:r>
      <w:r w:rsidRPr="005254DB">
        <w:rPr>
          <w:rFonts w:ascii="Times New Roman" w:hAnsi="Times New Roman" w:cs="Times New Roman"/>
          <w:noProof/>
          <w:sz w:val="28"/>
          <w:szCs w:val="28"/>
        </w:rPr>
        <w:t xml:space="preserve"> по зовнішнім боргам та ін. </w:t>
      </w:r>
      <w:r w:rsidR="00CA3F74" w:rsidRPr="005254DB">
        <w:rPr>
          <w:rFonts w:ascii="Times New Roman" w:hAnsi="Times New Roman" w:cs="Times New Roman"/>
          <w:noProof/>
          <w:sz w:val="28"/>
          <w:szCs w:val="28"/>
        </w:rPr>
        <w:t xml:space="preserve">Повний дефолт означає, що країна не </w:t>
      </w:r>
      <w:r w:rsidRPr="005254DB">
        <w:rPr>
          <w:rFonts w:ascii="Times New Roman" w:hAnsi="Times New Roman" w:cs="Times New Roman"/>
          <w:noProof/>
          <w:sz w:val="28"/>
          <w:szCs w:val="28"/>
        </w:rPr>
        <w:t xml:space="preserve">спроможна та </w:t>
      </w:r>
      <w:r w:rsidR="00CA3F74" w:rsidRPr="005254DB">
        <w:rPr>
          <w:rFonts w:ascii="Times New Roman" w:hAnsi="Times New Roman" w:cs="Times New Roman"/>
          <w:noProof/>
          <w:sz w:val="28"/>
          <w:szCs w:val="28"/>
        </w:rPr>
        <w:t xml:space="preserve">не має </w:t>
      </w:r>
      <w:r w:rsidRPr="005254DB">
        <w:rPr>
          <w:rFonts w:ascii="Times New Roman" w:hAnsi="Times New Roman" w:cs="Times New Roman"/>
          <w:noProof/>
          <w:sz w:val="28"/>
          <w:szCs w:val="28"/>
        </w:rPr>
        <w:t xml:space="preserve">можливості </w:t>
      </w:r>
      <w:r w:rsidR="00CA3F74" w:rsidRPr="005254DB">
        <w:rPr>
          <w:rFonts w:ascii="Times New Roman" w:hAnsi="Times New Roman" w:cs="Times New Roman"/>
          <w:noProof/>
          <w:sz w:val="28"/>
          <w:szCs w:val="28"/>
        </w:rPr>
        <w:t xml:space="preserve">здійснювати заходи (фінансувати витрати), </w:t>
      </w:r>
      <w:r w:rsidR="00CA3F74" w:rsidRPr="005254DB">
        <w:rPr>
          <w:rFonts w:ascii="Times New Roman" w:hAnsi="Times New Roman" w:cs="Times New Roman"/>
          <w:noProof/>
          <w:sz w:val="28"/>
          <w:szCs w:val="28"/>
        </w:rPr>
        <w:lastRenderedPageBreak/>
        <w:t>пов'язані з виконанням боргових зобов'язань.</w:t>
      </w:r>
      <w:r w:rsidRPr="005254DB">
        <w:rPr>
          <w:rFonts w:ascii="Times New Roman" w:hAnsi="Times New Roman" w:cs="Times New Roman"/>
          <w:noProof/>
          <w:sz w:val="28"/>
          <w:szCs w:val="28"/>
        </w:rPr>
        <w:t xml:space="preserve"> Серед м</w:t>
      </w:r>
      <w:r w:rsidR="00CA3F74" w:rsidRPr="005254DB">
        <w:rPr>
          <w:rFonts w:ascii="Times New Roman" w:hAnsi="Times New Roman" w:cs="Times New Roman"/>
          <w:noProof/>
          <w:sz w:val="28"/>
          <w:szCs w:val="28"/>
        </w:rPr>
        <w:t>акроекономічни</w:t>
      </w:r>
      <w:r w:rsidRPr="005254DB">
        <w:rPr>
          <w:rFonts w:ascii="Times New Roman" w:hAnsi="Times New Roman" w:cs="Times New Roman"/>
          <w:noProof/>
          <w:sz w:val="28"/>
          <w:szCs w:val="28"/>
        </w:rPr>
        <w:t>х</w:t>
      </w:r>
      <w:r w:rsidR="00CA3F74" w:rsidRPr="005254DB">
        <w:rPr>
          <w:rFonts w:ascii="Times New Roman" w:hAnsi="Times New Roman" w:cs="Times New Roman"/>
          <w:noProof/>
          <w:sz w:val="28"/>
          <w:szCs w:val="28"/>
        </w:rPr>
        <w:t xml:space="preserve"> наслідк</w:t>
      </w:r>
      <w:r w:rsidRPr="005254DB">
        <w:rPr>
          <w:rFonts w:ascii="Times New Roman" w:hAnsi="Times New Roman" w:cs="Times New Roman"/>
          <w:noProof/>
          <w:sz w:val="28"/>
          <w:szCs w:val="28"/>
        </w:rPr>
        <w:t>ів</w:t>
      </w:r>
      <w:r w:rsidR="00CA3F74" w:rsidRPr="005254DB">
        <w:rPr>
          <w:rFonts w:ascii="Times New Roman" w:hAnsi="Times New Roman" w:cs="Times New Roman"/>
          <w:noProof/>
          <w:sz w:val="28"/>
          <w:szCs w:val="28"/>
        </w:rPr>
        <w:t xml:space="preserve"> повного дефолту </w:t>
      </w:r>
      <w:r w:rsidRPr="005254DB">
        <w:rPr>
          <w:rFonts w:ascii="Times New Roman" w:hAnsi="Times New Roman" w:cs="Times New Roman"/>
          <w:noProof/>
          <w:sz w:val="28"/>
          <w:szCs w:val="28"/>
        </w:rPr>
        <w:t>називають</w:t>
      </w:r>
      <w:r w:rsidR="00CA3F74" w:rsidRPr="005254DB">
        <w:rPr>
          <w:rFonts w:ascii="Times New Roman" w:hAnsi="Times New Roman" w:cs="Times New Roman"/>
          <w:noProof/>
          <w:sz w:val="28"/>
          <w:szCs w:val="28"/>
        </w:rPr>
        <w:t>:</w:t>
      </w:r>
      <w:r w:rsidRPr="005254DB">
        <w:rPr>
          <w:rFonts w:ascii="Times New Roman" w:hAnsi="Times New Roman" w:cs="Times New Roman"/>
          <w:noProof/>
          <w:sz w:val="28"/>
          <w:szCs w:val="28"/>
        </w:rPr>
        <w:t xml:space="preserve"> </w:t>
      </w:r>
      <w:r w:rsidR="00CA3F74" w:rsidRPr="005254DB">
        <w:rPr>
          <w:rFonts w:ascii="Times New Roman" w:hAnsi="Times New Roman" w:cs="Times New Roman"/>
          <w:noProof/>
          <w:sz w:val="28"/>
          <w:szCs w:val="28"/>
        </w:rPr>
        <w:t>світов</w:t>
      </w:r>
      <w:r w:rsidRPr="005254DB">
        <w:rPr>
          <w:rFonts w:ascii="Times New Roman" w:hAnsi="Times New Roman" w:cs="Times New Roman"/>
          <w:noProof/>
          <w:sz w:val="28"/>
          <w:szCs w:val="28"/>
        </w:rPr>
        <w:t>у</w:t>
      </w:r>
      <w:r w:rsidR="00CA3F74" w:rsidRPr="005254DB">
        <w:rPr>
          <w:rFonts w:ascii="Times New Roman" w:hAnsi="Times New Roman" w:cs="Times New Roman"/>
          <w:noProof/>
          <w:sz w:val="28"/>
          <w:szCs w:val="28"/>
        </w:rPr>
        <w:t xml:space="preserve"> ізоляці</w:t>
      </w:r>
      <w:r w:rsidRPr="005254DB">
        <w:rPr>
          <w:rFonts w:ascii="Times New Roman" w:hAnsi="Times New Roman" w:cs="Times New Roman"/>
          <w:noProof/>
          <w:sz w:val="28"/>
          <w:szCs w:val="28"/>
        </w:rPr>
        <w:t>ю</w:t>
      </w:r>
      <w:r w:rsidR="00CA3F74" w:rsidRPr="005254DB">
        <w:rPr>
          <w:rFonts w:ascii="Times New Roman" w:hAnsi="Times New Roman" w:cs="Times New Roman"/>
          <w:noProof/>
          <w:sz w:val="28"/>
          <w:szCs w:val="28"/>
        </w:rPr>
        <w:t xml:space="preserve"> країни</w:t>
      </w:r>
      <w:r w:rsidRPr="005254DB">
        <w:rPr>
          <w:rFonts w:ascii="Times New Roman" w:hAnsi="Times New Roman" w:cs="Times New Roman"/>
          <w:noProof/>
          <w:sz w:val="28"/>
          <w:szCs w:val="28"/>
        </w:rPr>
        <w:t xml:space="preserve"> як ненадійного партнера у всіх формах міжнародних економічних відносин; </w:t>
      </w:r>
      <w:r w:rsidR="00CA3F74" w:rsidRPr="005254DB">
        <w:rPr>
          <w:rFonts w:ascii="Times New Roman" w:hAnsi="Times New Roman" w:cs="Times New Roman"/>
          <w:noProof/>
          <w:sz w:val="28"/>
          <w:szCs w:val="28"/>
        </w:rPr>
        <w:t>арешт іноземних активів країни</w:t>
      </w:r>
      <w:r w:rsidRPr="005254DB">
        <w:rPr>
          <w:rFonts w:ascii="Times New Roman" w:hAnsi="Times New Roman" w:cs="Times New Roman"/>
          <w:noProof/>
          <w:sz w:val="28"/>
          <w:szCs w:val="28"/>
        </w:rPr>
        <w:t xml:space="preserve"> (аж до майна дипломатичних представництв)</w:t>
      </w:r>
      <w:r w:rsidR="00CA3F74" w:rsidRPr="005254DB">
        <w:rPr>
          <w:rFonts w:ascii="Times New Roman" w:hAnsi="Times New Roman" w:cs="Times New Roman"/>
          <w:noProof/>
          <w:sz w:val="28"/>
          <w:szCs w:val="28"/>
        </w:rPr>
        <w:t>;</w:t>
      </w:r>
      <w:r w:rsidRPr="005254DB">
        <w:rPr>
          <w:rFonts w:ascii="Times New Roman" w:hAnsi="Times New Roman" w:cs="Times New Roman"/>
          <w:noProof/>
          <w:sz w:val="28"/>
          <w:szCs w:val="28"/>
        </w:rPr>
        <w:t xml:space="preserve"> </w:t>
      </w:r>
      <w:r w:rsidR="00CA3F74" w:rsidRPr="005254DB">
        <w:rPr>
          <w:rFonts w:ascii="Times New Roman" w:hAnsi="Times New Roman" w:cs="Times New Roman"/>
          <w:noProof/>
          <w:sz w:val="28"/>
          <w:szCs w:val="28"/>
        </w:rPr>
        <w:t xml:space="preserve">неможливість здійснення додаткових запозичень коштів </w:t>
      </w:r>
      <w:r w:rsidRPr="005254DB">
        <w:rPr>
          <w:rFonts w:ascii="Times New Roman" w:hAnsi="Times New Roman" w:cs="Times New Roman"/>
          <w:noProof/>
          <w:sz w:val="28"/>
          <w:szCs w:val="28"/>
        </w:rPr>
        <w:t xml:space="preserve">на світовому </w:t>
      </w:r>
      <w:r w:rsidR="00CA3F74" w:rsidRPr="005254DB">
        <w:rPr>
          <w:rFonts w:ascii="Times New Roman" w:hAnsi="Times New Roman" w:cs="Times New Roman"/>
          <w:noProof/>
          <w:sz w:val="28"/>
          <w:szCs w:val="28"/>
        </w:rPr>
        <w:t>ринку пози</w:t>
      </w:r>
      <w:r w:rsidR="005254DB" w:rsidRPr="005254DB">
        <w:rPr>
          <w:rFonts w:ascii="Times New Roman" w:hAnsi="Times New Roman" w:cs="Times New Roman"/>
          <w:noProof/>
          <w:sz w:val="28"/>
          <w:szCs w:val="28"/>
        </w:rPr>
        <w:t>ч</w:t>
      </w:r>
      <w:r w:rsidR="00CA3F74" w:rsidRPr="005254DB">
        <w:rPr>
          <w:rFonts w:ascii="Times New Roman" w:hAnsi="Times New Roman" w:cs="Times New Roman"/>
          <w:noProof/>
          <w:sz w:val="28"/>
          <w:szCs w:val="28"/>
        </w:rPr>
        <w:t>кових капіталів</w:t>
      </w:r>
      <w:r w:rsidR="005254DB" w:rsidRPr="005254DB">
        <w:rPr>
          <w:rFonts w:ascii="Times New Roman" w:hAnsi="Times New Roman" w:cs="Times New Roman"/>
          <w:noProof/>
          <w:sz w:val="28"/>
          <w:szCs w:val="28"/>
        </w:rPr>
        <w:t>, відмова щодо отримання нових кредитів</w:t>
      </w:r>
      <w:r w:rsidR="00CA3F74" w:rsidRPr="005254DB">
        <w:rPr>
          <w:rFonts w:ascii="Times New Roman" w:hAnsi="Times New Roman" w:cs="Times New Roman"/>
          <w:noProof/>
          <w:sz w:val="28"/>
          <w:szCs w:val="28"/>
        </w:rPr>
        <w:t>;</w:t>
      </w:r>
      <w:r w:rsidR="005254DB" w:rsidRPr="005254DB">
        <w:rPr>
          <w:rFonts w:ascii="Times New Roman" w:hAnsi="Times New Roman" w:cs="Times New Roman"/>
          <w:noProof/>
          <w:sz w:val="28"/>
          <w:szCs w:val="28"/>
        </w:rPr>
        <w:t xml:space="preserve"> </w:t>
      </w:r>
      <w:r w:rsidR="00CA3F74" w:rsidRPr="005254DB">
        <w:rPr>
          <w:rFonts w:ascii="Times New Roman" w:hAnsi="Times New Roman" w:cs="Times New Roman"/>
          <w:noProof/>
          <w:sz w:val="28"/>
          <w:szCs w:val="28"/>
        </w:rPr>
        <w:t xml:space="preserve">накладання квот і обмежень на </w:t>
      </w:r>
      <w:r w:rsidR="005254DB" w:rsidRPr="005254DB">
        <w:rPr>
          <w:rFonts w:ascii="Times New Roman" w:hAnsi="Times New Roman" w:cs="Times New Roman"/>
          <w:noProof/>
          <w:sz w:val="28"/>
          <w:szCs w:val="28"/>
        </w:rPr>
        <w:t xml:space="preserve">зовнішню </w:t>
      </w:r>
      <w:r w:rsidR="00CA3F74" w:rsidRPr="005254DB">
        <w:rPr>
          <w:rFonts w:ascii="Times New Roman" w:hAnsi="Times New Roman" w:cs="Times New Roman"/>
          <w:noProof/>
          <w:sz w:val="28"/>
          <w:szCs w:val="28"/>
        </w:rPr>
        <w:t xml:space="preserve">торгівлю з </w:t>
      </w:r>
      <w:r w:rsidR="005254DB" w:rsidRPr="005254DB">
        <w:rPr>
          <w:rFonts w:ascii="Times New Roman" w:hAnsi="Times New Roman" w:cs="Times New Roman"/>
          <w:noProof/>
          <w:sz w:val="28"/>
          <w:szCs w:val="28"/>
        </w:rPr>
        <w:t>такою к</w:t>
      </w:r>
      <w:r w:rsidR="00CA3F74" w:rsidRPr="005254DB">
        <w:rPr>
          <w:rFonts w:ascii="Times New Roman" w:hAnsi="Times New Roman" w:cs="Times New Roman"/>
          <w:noProof/>
          <w:sz w:val="28"/>
          <w:szCs w:val="28"/>
        </w:rPr>
        <w:t>раїною</w:t>
      </w:r>
      <w:r w:rsidR="005254DB" w:rsidRPr="005254DB">
        <w:rPr>
          <w:rFonts w:ascii="Times New Roman" w:hAnsi="Times New Roman" w:cs="Times New Roman"/>
          <w:noProof/>
          <w:sz w:val="28"/>
          <w:szCs w:val="28"/>
        </w:rPr>
        <w:t xml:space="preserve">, припинення </w:t>
      </w:r>
      <w:r w:rsidR="00CA3F74" w:rsidRPr="005254DB">
        <w:rPr>
          <w:rFonts w:ascii="Times New Roman" w:hAnsi="Times New Roman" w:cs="Times New Roman"/>
          <w:noProof/>
          <w:sz w:val="28"/>
          <w:szCs w:val="28"/>
        </w:rPr>
        <w:t xml:space="preserve">інвестування </w:t>
      </w:r>
      <w:r w:rsidR="005254DB" w:rsidRPr="005254DB">
        <w:rPr>
          <w:rFonts w:ascii="Times New Roman" w:hAnsi="Times New Roman" w:cs="Times New Roman"/>
          <w:noProof/>
          <w:sz w:val="28"/>
          <w:szCs w:val="28"/>
        </w:rPr>
        <w:t xml:space="preserve">у економіку </w:t>
      </w:r>
      <w:r w:rsidR="00CA3F74" w:rsidRPr="005254DB">
        <w:rPr>
          <w:rFonts w:ascii="Times New Roman" w:hAnsi="Times New Roman" w:cs="Times New Roman"/>
          <w:noProof/>
          <w:sz w:val="28"/>
          <w:szCs w:val="28"/>
        </w:rPr>
        <w:t>країн</w:t>
      </w:r>
      <w:r w:rsidR="005254DB" w:rsidRPr="005254DB">
        <w:rPr>
          <w:rFonts w:ascii="Times New Roman" w:hAnsi="Times New Roman" w:cs="Times New Roman"/>
          <w:noProof/>
          <w:sz w:val="28"/>
          <w:szCs w:val="28"/>
        </w:rPr>
        <w:t>и, що оголосила повний дефолт</w:t>
      </w:r>
      <w:r w:rsidR="00CA3F74" w:rsidRPr="005254DB">
        <w:rPr>
          <w:rFonts w:ascii="Times New Roman" w:hAnsi="Times New Roman" w:cs="Times New Roman"/>
          <w:noProof/>
          <w:sz w:val="28"/>
          <w:szCs w:val="28"/>
        </w:rPr>
        <w:t>;</w:t>
      </w:r>
      <w:r w:rsidR="005254DB" w:rsidRPr="005254DB">
        <w:rPr>
          <w:rFonts w:ascii="Times New Roman" w:hAnsi="Times New Roman" w:cs="Times New Roman"/>
          <w:noProof/>
          <w:sz w:val="28"/>
          <w:szCs w:val="28"/>
        </w:rPr>
        <w:t xml:space="preserve"> запровадження низки штрафних санкцій та секвестрових заходів </w:t>
      </w:r>
      <w:r w:rsidR="00CA3F74" w:rsidRPr="005254DB">
        <w:rPr>
          <w:rFonts w:ascii="Times New Roman" w:hAnsi="Times New Roman" w:cs="Times New Roman"/>
          <w:noProof/>
          <w:sz w:val="28"/>
          <w:szCs w:val="28"/>
        </w:rPr>
        <w:t xml:space="preserve">тощо. </w:t>
      </w:r>
    </w:p>
    <w:p w:rsidR="005254DB" w:rsidRPr="005254DB" w:rsidRDefault="00CA3F74" w:rsidP="005254DB">
      <w:pPr>
        <w:spacing w:line="360" w:lineRule="auto"/>
        <w:ind w:firstLine="284"/>
        <w:jc w:val="both"/>
        <w:rPr>
          <w:rFonts w:ascii="Times New Roman" w:hAnsi="Times New Roman" w:cs="Times New Roman"/>
          <w:sz w:val="28"/>
          <w:szCs w:val="28"/>
        </w:rPr>
      </w:pPr>
      <w:r w:rsidRPr="005254DB">
        <w:rPr>
          <w:rFonts w:ascii="Times New Roman" w:hAnsi="Times New Roman" w:cs="Times New Roman"/>
          <w:sz w:val="28"/>
          <w:szCs w:val="28"/>
        </w:rPr>
        <w:t xml:space="preserve">Дефолт не є чимось винятковим та екстраординарним у </w:t>
      </w:r>
      <w:r w:rsidR="005254DB" w:rsidRPr="005254DB">
        <w:rPr>
          <w:rFonts w:ascii="Times New Roman" w:hAnsi="Times New Roman" w:cs="Times New Roman"/>
          <w:sz w:val="28"/>
          <w:szCs w:val="28"/>
        </w:rPr>
        <w:t xml:space="preserve">системі </w:t>
      </w:r>
      <w:r w:rsidRPr="005254DB">
        <w:rPr>
          <w:rFonts w:ascii="Times New Roman" w:hAnsi="Times New Roman" w:cs="Times New Roman"/>
          <w:sz w:val="28"/>
          <w:szCs w:val="28"/>
        </w:rPr>
        <w:t xml:space="preserve">світових фінансових відносин. Деякі країни, серед яких не тільки латиноамериканські, </w:t>
      </w:r>
      <w:r w:rsidR="005254DB" w:rsidRPr="005254DB">
        <w:rPr>
          <w:rFonts w:ascii="Times New Roman" w:hAnsi="Times New Roman" w:cs="Times New Roman"/>
          <w:sz w:val="28"/>
          <w:szCs w:val="28"/>
        </w:rPr>
        <w:t xml:space="preserve">часто користуються оголошенням дефолту, вирішуючи таким чином гострі проблеми нарощування зовнішньої заборгованості. </w:t>
      </w:r>
      <w:r w:rsidRPr="005254DB">
        <w:rPr>
          <w:rFonts w:ascii="Times New Roman" w:hAnsi="Times New Roman" w:cs="Times New Roman"/>
          <w:sz w:val="28"/>
          <w:szCs w:val="28"/>
        </w:rPr>
        <w:t xml:space="preserve">Так, за період з 1820 року і до </w:t>
      </w:r>
      <w:r w:rsidR="005254DB" w:rsidRPr="005254DB">
        <w:rPr>
          <w:rFonts w:ascii="Times New Roman" w:hAnsi="Times New Roman" w:cs="Times New Roman"/>
          <w:sz w:val="28"/>
          <w:szCs w:val="28"/>
        </w:rPr>
        <w:t xml:space="preserve">кінця 2017 р. у світовій практиці було </w:t>
      </w:r>
      <w:r w:rsidRPr="005254DB">
        <w:rPr>
          <w:rFonts w:ascii="Times New Roman" w:hAnsi="Times New Roman" w:cs="Times New Roman"/>
          <w:sz w:val="28"/>
          <w:szCs w:val="28"/>
        </w:rPr>
        <w:t>зафіксовано 248 випадків дефолту у 107 суверенних країнах</w:t>
      </w:r>
      <w:r w:rsidR="005254DB" w:rsidRPr="005254DB">
        <w:rPr>
          <w:rFonts w:ascii="Times New Roman" w:hAnsi="Times New Roman" w:cs="Times New Roman"/>
          <w:sz w:val="28"/>
          <w:szCs w:val="28"/>
        </w:rPr>
        <w:t xml:space="preserve"> світу. </w:t>
      </w:r>
      <w:r w:rsidRPr="005254DB">
        <w:rPr>
          <w:rFonts w:ascii="Times New Roman" w:hAnsi="Times New Roman" w:cs="Times New Roman"/>
          <w:sz w:val="28"/>
          <w:szCs w:val="28"/>
        </w:rPr>
        <w:t xml:space="preserve">Найчастіше дефолти виникали </w:t>
      </w:r>
      <w:r w:rsidR="005254DB" w:rsidRPr="005254DB">
        <w:rPr>
          <w:rFonts w:ascii="Times New Roman" w:hAnsi="Times New Roman" w:cs="Times New Roman"/>
          <w:sz w:val="28"/>
          <w:szCs w:val="28"/>
        </w:rPr>
        <w:t xml:space="preserve">у </w:t>
      </w:r>
      <w:r w:rsidRPr="005254DB">
        <w:rPr>
          <w:rFonts w:ascii="Times New Roman" w:hAnsi="Times New Roman" w:cs="Times New Roman"/>
          <w:sz w:val="28"/>
          <w:szCs w:val="28"/>
        </w:rPr>
        <w:t>країнах Південної Америки</w:t>
      </w:r>
      <w:r w:rsidR="005254DB" w:rsidRPr="005254DB">
        <w:rPr>
          <w:rFonts w:ascii="Times New Roman" w:hAnsi="Times New Roman" w:cs="Times New Roman"/>
          <w:sz w:val="28"/>
          <w:szCs w:val="28"/>
        </w:rPr>
        <w:t xml:space="preserve"> – </w:t>
      </w:r>
      <w:r w:rsidRPr="005254DB">
        <w:rPr>
          <w:rFonts w:ascii="Times New Roman" w:hAnsi="Times New Roman" w:cs="Times New Roman"/>
          <w:sz w:val="28"/>
          <w:szCs w:val="28"/>
        </w:rPr>
        <w:t>Еквадорі, Мексиці, Уругваї та Венесуелі</w:t>
      </w:r>
      <w:r w:rsidR="005254DB" w:rsidRPr="005254DB">
        <w:rPr>
          <w:rFonts w:ascii="Times New Roman" w:hAnsi="Times New Roman" w:cs="Times New Roman"/>
          <w:sz w:val="28"/>
          <w:szCs w:val="28"/>
        </w:rPr>
        <w:t>. К</w:t>
      </w:r>
      <w:r w:rsidRPr="005254DB">
        <w:rPr>
          <w:rFonts w:ascii="Times New Roman" w:hAnsi="Times New Roman" w:cs="Times New Roman"/>
          <w:sz w:val="28"/>
          <w:szCs w:val="28"/>
        </w:rPr>
        <w:t xml:space="preserve">ожна з цих країн оголошувала дефолт щонайменше 8 разів, часто демонструючи </w:t>
      </w:r>
      <w:r w:rsidR="005254DB" w:rsidRPr="005254DB">
        <w:rPr>
          <w:rFonts w:ascii="Times New Roman" w:hAnsi="Times New Roman" w:cs="Times New Roman"/>
          <w:sz w:val="28"/>
          <w:szCs w:val="28"/>
        </w:rPr>
        <w:t xml:space="preserve">практику </w:t>
      </w:r>
      <w:r w:rsidRPr="005254DB">
        <w:rPr>
          <w:rFonts w:ascii="Times New Roman" w:hAnsi="Times New Roman" w:cs="Times New Roman"/>
          <w:sz w:val="28"/>
          <w:szCs w:val="28"/>
        </w:rPr>
        <w:t>«серійних дефолтів». Країни Еквадор та Гондура</w:t>
      </w:r>
      <w:r w:rsidR="005254DB" w:rsidRPr="005254DB">
        <w:rPr>
          <w:rFonts w:ascii="Times New Roman" w:hAnsi="Times New Roman" w:cs="Times New Roman"/>
          <w:sz w:val="28"/>
          <w:szCs w:val="28"/>
        </w:rPr>
        <w:t>с провели у стані дефолту більш</w:t>
      </w:r>
      <w:r w:rsidRPr="005254DB">
        <w:rPr>
          <w:rFonts w:ascii="Times New Roman" w:hAnsi="Times New Roman" w:cs="Times New Roman"/>
          <w:sz w:val="28"/>
          <w:szCs w:val="28"/>
        </w:rPr>
        <w:t xml:space="preserve"> ніж 120 років кожна, а Греція </w:t>
      </w:r>
      <w:r w:rsidR="005254DB" w:rsidRPr="005254DB">
        <w:rPr>
          <w:rFonts w:ascii="Times New Roman" w:hAnsi="Times New Roman" w:cs="Times New Roman"/>
          <w:sz w:val="28"/>
          <w:szCs w:val="28"/>
        </w:rPr>
        <w:t xml:space="preserve">(до вступу у ЄС) </w:t>
      </w:r>
      <w:r w:rsidRPr="005254DB">
        <w:rPr>
          <w:rFonts w:ascii="Times New Roman" w:hAnsi="Times New Roman" w:cs="Times New Roman"/>
          <w:sz w:val="28"/>
          <w:szCs w:val="28"/>
        </w:rPr>
        <w:t>перебувала у цьому стані понад 90 років</w:t>
      </w:r>
      <w:r w:rsidR="005254DB" w:rsidRPr="005254DB">
        <w:rPr>
          <w:rFonts w:ascii="Times New Roman" w:hAnsi="Times New Roman" w:cs="Times New Roman"/>
          <w:sz w:val="28"/>
          <w:szCs w:val="28"/>
        </w:rPr>
        <w:t xml:space="preserve"> </w:t>
      </w:r>
      <w:r w:rsidR="005254DB" w:rsidRPr="00B451E1">
        <w:rPr>
          <w:rFonts w:ascii="Times New Roman" w:hAnsi="Times New Roman" w:cs="Times New Roman"/>
          <w:sz w:val="28"/>
          <w:szCs w:val="28"/>
        </w:rPr>
        <w:t>[</w:t>
      </w:r>
      <w:r w:rsidR="00B451E1" w:rsidRPr="00B451E1">
        <w:rPr>
          <w:rFonts w:ascii="Times New Roman" w:hAnsi="Times New Roman" w:cs="Times New Roman"/>
          <w:sz w:val="28"/>
          <w:szCs w:val="28"/>
          <w:lang w:val="ru-RU"/>
        </w:rPr>
        <w:t>16</w:t>
      </w:r>
      <w:r w:rsidR="005254DB" w:rsidRPr="00B451E1">
        <w:rPr>
          <w:rFonts w:ascii="Times New Roman" w:hAnsi="Times New Roman" w:cs="Times New Roman"/>
          <w:sz w:val="28"/>
          <w:szCs w:val="28"/>
        </w:rPr>
        <w:t>].</w:t>
      </w:r>
    </w:p>
    <w:p w:rsidR="005254DB" w:rsidRDefault="003F1B4E" w:rsidP="005254DB">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Дефолт і «повний», і «технічний», несе у собі низку ризиків для національної економіки. Серед </w:t>
      </w:r>
      <w:proofErr w:type="spellStart"/>
      <w:r>
        <w:rPr>
          <w:rFonts w:ascii="Times New Roman" w:hAnsi="Times New Roman" w:cs="Times New Roman"/>
          <w:sz w:val="28"/>
          <w:szCs w:val="28"/>
        </w:rPr>
        <w:t>інституцінйих</w:t>
      </w:r>
      <w:proofErr w:type="spellEnd"/>
      <w:r>
        <w:rPr>
          <w:rFonts w:ascii="Times New Roman" w:hAnsi="Times New Roman" w:cs="Times New Roman"/>
          <w:sz w:val="28"/>
          <w:szCs w:val="28"/>
        </w:rPr>
        <w:t xml:space="preserve"> ризиків – зниження довіри до країни як до надійного партнера інших країн світу у спільних економічних та фінансових проектах.  Такий ризик має і реальний вимір – зниження інвестицій, зменшення обсягів кредитування у майбутньому.</w:t>
      </w:r>
    </w:p>
    <w:p w:rsidR="003F1B4E" w:rsidRPr="0091263B" w:rsidRDefault="003F1B4E" w:rsidP="005254DB">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Серед </w:t>
      </w:r>
      <w:proofErr w:type="spellStart"/>
      <w:r>
        <w:rPr>
          <w:rFonts w:ascii="Times New Roman" w:hAnsi="Times New Roman" w:cs="Times New Roman"/>
          <w:sz w:val="28"/>
          <w:szCs w:val="28"/>
        </w:rPr>
        <w:t>макроекномічних</w:t>
      </w:r>
      <w:proofErr w:type="spellEnd"/>
      <w:r>
        <w:rPr>
          <w:rFonts w:ascii="Times New Roman" w:hAnsi="Times New Roman" w:cs="Times New Roman"/>
          <w:sz w:val="28"/>
          <w:szCs w:val="28"/>
        </w:rPr>
        <w:t xml:space="preserve"> ризиків настання дефолту – слід відзначити наступні. «Здешевлення» національної валюти країни, що оголошує дефолт. Так, після оголошення дефолту Аргентиною (2001 р.) аргентинське песо «</w:t>
      </w:r>
      <w:proofErr w:type="spellStart"/>
      <w:r>
        <w:rPr>
          <w:rFonts w:ascii="Times New Roman" w:hAnsi="Times New Roman" w:cs="Times New Roman"/>
          <w:sz w:val="28"/>
          <w:szCs w:val="28"/>
        </w:rPr>
        <w:t>здешевшало</w:t>
      </w:r>
      <w:proofErr w:type="spellEnd"/>
      <w:r>
        <w:rPr>
          <w:rFonts w:ascii="Times New Roman" w:hAnsi="Times New Roman" w:cs="Times New Roman"/>
          <w:sz w:val="28"/>
          <w:szCs w:val="28"/>
        </w:rPr>
        <w:t xml:space="preserve">» на 67,4 %. Оголошення дефолту Мексикою (1994 р.) призвело до падіння мексиканського песо на 46,6 %. </w:t>
      </w:r>
      <w:r w:rsidR="00E73800">
        <w:rPr>
          <w:rFonts w:ascii="Times New Roman" w:hAnsi="Times New Roman" w:cs="Times New Roman"/>
          <w:sz w:val="28"/>
          <w:szCs w:val="28"/>
        </w:rPr>
        <w:t xml:space="preserve">Російський рубль після оголошення </w:t>
      </w:r>
      <w:r w:rsidR="00E73800">
        <w:rPr>
          <w:rFonts w:ascii="Times New Roman" w:hAnsi="Times New Roman" w:cs="Times New Roman"/>
          <w:sz w:val="28"/>
          <w:szCs w:val="28"/>
        </w:rPr>
        <w:lastRenderedPageBreak/>
        <w:t xml:space="preserve">дефолту РФ (1998 р.) одразу ж знецінився на 40,4 % </w:t>
      </w:r>
      <w:r w:rsidR="00E73800" w:rsidRPr="00B451E1">
        <w:rPr>
          <w:rFonts w:ascii="Times New Roman" w:hAnsi="Times New Roman" w:cs="Times New Roman"/>
          <w:sz w:val="28"/>
          <w:szCs w:val="28"/>
        </w:rPr>
        <w:t>[</w:t>
      </w:r>
      <w:r w:rsidR="00B451E1">
        <w:rPr>
          <w:rFonts w:ascii="Times New Roman" w:hAnsi="Times New Roman" w:cs="Times New Roman"/>
          <w:sz w:val="28"/>
          <w:szCs w:val="28"/>
          <w:lang w:val="ru-RU"/>
        </w:rPr>
        <w:t>17</w:t>
      </w:r>
      <w:r w:rsidR="00E73800" w:rsidRPr="00B451E1">
        <w:rPr>
          <w:rFonts w:ascii="Times New Roman" w:hAnsi="Times New Roman" w:cs="Times New Roman"/>
          <w:sz w:val="28"/>
          <w:szCs w:val="28"/>
        </w:rPr>
        <w:t>]</w:t>
      </w:r>
      <w:r w:rsidR="00E73800" w:rsidRPr="00B451E1">
        <w:rPr>
          <w:rFonts w:ascii="Times New Roman" w:hAnsi="Times New Roman" w:cs="Times New Roman"/>
          <w:sz w:val="28"/>
          <w:szCs w:val="28"/>
          <w:lang w:val="ru-RU"/>
        </w:rPr>
        <w:t>.</w:t>
      </w:r>
      <w:r w:rsidR="00E73800" w:rsidRPr="00E73800">
        <w:rPr>
          <w:rFonts w:ascii="Times New Roman" w:hAnsi="Times New Roman" w:cs="Times New Roman"/>
          <w:sz w:val="28"/>
          <w:szCs w:val="28"/>
          <w:lang w:val="ru-RU"/>
        </w:rPr>
        <w:t xml:space="preserve"> </w:t>
      </w:r>
      <w:r w:rsidR="00E73800" w:rsidRPr="00D527FA">
        <w:rPr>
          <w:rFonts w:ascii="Times New Roman" w:hAnsi="Times New Roman" w:cs="Times New Roman"/>
          <w:sz w:val="28"/>
          <w:szCs w:val="28"/>
        </w:rPr>
        <w:t xml:space="preserve">Після оголошення дефолту у країні різко зростає безробіття. Це стосується як безробіття у сфері бізнесу (внаслідок зменшення інвестицій та </w:t>
      </w:r>
      <w:proofErr w:type="spellStart"/>
      <w:r w:rsidR="00E73800" w:rsidRPr="00D527FA">
        <w:rPr>
          <w:rFonts w:ascii="Times New Roman" w:hAnsi="Times New Roman" w:cs="Times New Roman"/>
          <w:sz w:val="28"/>
          <w:szCs w:val="28"/>
        </w:rPr>
        <w:t>подіння</w:t>
      </w:r>
      <w:proofErr w:type="spellEnd"/>
      <w:r w:rsidR="00E73800" w:rsidRPr="00D527FA">
        <w:rPr>
          <w:rFonts w:ascii="Times New Roman" w:hAnsi="Times New Roman" w:cs="Times New Roman"/>
          <w:sz w:val="28"/>
          <w:szCs w:val="28"/>
        </w:rPr>
        <w:t xml:space="preserve"> купівельної спроможності домашніх господарств), так і масових звільнень працівників бюджетної сфери (освіта, медицина, </w:t>
      </w:r>
      <w:proofErr w:type="spellStart"/>
      <w:r w:rsidR="00E73800" w:rsidRPr="00D527FA">
        <w:rPr>
          <w:rFonts w:ascii="Times New Roman" w:hAnsi="Times New Roman" w:cs="Times New Roman"/>
          <w:sz w:val="28"/>
          <w:szCs w:val="28"/>
        </w:rPr>
        <w:t>заклати</w:t>
      </w:r>
      <w:proofErr w:type="spellEnd"/>
      <w:r w:rsidR="00E73800" w:rsidRPr="00D527FA">
        <w:rPr>
          <w:rFonts w:ascii="Times New Roman" w:hAnsi="Times New Roman" w:cs="Times New Roman"/>
          <w:sz w:val="28"/>
          <w:szCs w:val="28"/>
        </w:rPr>
        <w:t xml:space="preserve"> культури) внаслідок спустошення бюджетів усіх рівнів. Дефолт «вимиває» і золотовалютні резерви країни, що формує ризики припинення (чи зменшення до критичної межі) імпорту, у т.ч. імпортних ліків, імпортних комплектуючих для національного виробництва, критичного імпорту енергоресурсів та ін. Серед ризиків дефолту – різке падіння обсягів прямих </w:t>
      </w:r>
      <w:proofErr w:type="spellStart"/>
      <w:r w:rsidR="00E73800" w:rsidRPr="00D527FA">
        <w:rPr>
          <w:rFonts w:ascii="Times New Roman" w:hAnsi="Times New Roman" w:cs="Times New Roman"/>
          <w:sz w:val="28"/>
          <w:szCs w:val="28"/>
        </w:rPr>
        <w:t>інеземних</w:t>
      </w:r>
      <w:proofErr w:type="spellEnd"/>
      <w:r w:rsidR="00E73800" w:rsidRPr="00D527FA">
        <w:rPr>
          <w:rFonts w:ascii="Times New Roman" w:hAnsi="Times New Roman" w:cs="Times New Roman"/>
          <w:sz w:val="28"/>
          <w:szCs w:val="28"/>
        </w:rPr>
        <w:t xml:space="preserve"> інвестицій. В цілому – дефолт призводить до падіння темпів еко</w:t>
      </w:r>
      <w:r w:rsidR="001C2264" w:rsidRPr="00D527FA">
        <w:rPr>
          <w:rFonts w:ascii="Times New Roman" w:hAnsi="Times New Roman" w:cs="Times New Roman"/>
          <w:sz w:val="28"/>
          <w:szCs w:val="28"/>
        </w:rPr>
        <w:t>номічного зростання країни та падіння її конкурентоспроможності на світових ринках.</w:t>
      </w:r>
    </w:p>
    <w:p w:rsidR="001C2264" w:rsidRDefault="003F1B4E" w:rsidP="001C2264">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C2264">
        <w:rPr>
          <w:rFonts w:ascii="Times New Roman" w:hAnsi="Times New Roman" w:cs="Times New Roman"/>
          <w:sz w:val="28"/>
          <w:szCs w:val="28"/>
        </w:rPr>
        <w:t xml:space="preserve">Серед країн, що пережили дефолт – </w:t>
      </w:r>
      <w:proofErr w:type="spellStart"/>
      <w:r w:rsidR="001C2264">
        <w:rPr>
          <w:rFonts w:ascii="Times New Roman" w:hAnsi="Times New Roman" w:cs="Times New Roman"/>
          <w:sz w:val="28"/>
          <w:szCs w:val="28"/>
        </w:rPr>
        <w:t>Мекстика</w:t>
      </w:r>
      <w:proofErr w:type="spellEnd"/>
      <w:r w:rsidR="001C2264">
        <w:rPr>
          <w:rFonts w:ascii="Times New Roman" w:hAnsi="Times New Roman" w:cs="Times New Roman"/>
          <w:sz w:val="28"/>
          <w:szCs w:val="28"/>
        </w:rPr>
        <w:t xml:space="preserve"> та Аргентина. Досвід виходу з дефолту цих країн свідчить про доцільність розробки </w:t>
      </w:r>
      <w:r w:rsidR="00A11F22" w:rsidRPr="00115C82">
        <w:rPr>
          <w:rFonts w:ascii="Times New Roman" w:hAnsi="Times New Roman" w:cs="Times New Roman"/>
          <w:color w:val="000000" w:themeColor="text1"/>
          <w:sz w:val="28"/>
          <w:szCs w:val="28"/>
        </w:rPr>
        <w:t>середньостроков</w:t>
      </w:r>
      <w:r w:rsidR="001C2264">
        <w:rPr>
          <w:rFonts w:ascii="Times New Roman" w:hAnsi="Times New Roman" w:cs="Times New Roman"/>
          <w:color w:val="000000" w:themeColor="text1"/>
          <w:sz w:val="28"/>
          <w:szCs w:val="28"/>
        </w:rPr>
        <w:t>ої</w:t>
      </w:r>
      <w:r w:rsidR="00A11F22" w:rsidRPr="00115C82">
        <w:rPr>
          <w:rFonts w:ascii="Times New Roman" w:hAnsi="Times New Roman" w:cs="Times New Roman"/>
          <w:color w:val="000000" w:themeColor="text1"/>
          <w:sz w:val="28"/>
          <w:szCs w:val="28"/>
        </w:rPr>
        <w:t xml:space="preserve"> стратегі</w:t>
      </w:r>
      <w:r w:rsidR="001C2264">
        <w:rPr>
          <w:rFonts w:ascii="Times New Roman" w:hAnsi="Times New Roman" w:cs="Times New Roman"/>
          <w:color w:val="000000" w:themeColor="text1"/>
          <w:sz w:val="28"/>
          <w:szCs w:val="28"/>
        </w:rPr>
        <w:t>ї</w:t>
      </w:r>
      <w:r w:rsidR="00A11F22" w:rsidRPr="00115C82">
        <w:rPr>
          <w:rFonts w:ascii="Times New Roman" w:hAnsi="Times New Roman" w:cs="Times New Roman"/>
          <w:color w:val="000000" w:themeColor="text1"/>
          <w:sz w:val="28"/>
          <w:szCs w:val="28"/>
        </w:rPr>
        <w:t xml:space="preserve"> управління зовнішнім боргом</w:t>
      </w:r>
      <w:r w:rsidR="001C2264">
        <w:rPr>
          <w:rFonts w:ascii="Times New Roman" w:hAnsi="Times New Roman" w:cs="Times New Roman"/>
          <w:color w:val="000000" w:themeColor="text1"/>
          <w:sz w:val="28"/>
          <w:szCs w:val="28"/>
        </w:rPr>
        <w:t xml:space="preserve">, як це і було зроблено у </w:t>
      </w:r>
      <w:r w:rsidR="00A11F22" w:rsidRPr="00115C82">
        <w:rPr>
          <w:rFonts w:ascii="Times New Roman" w:hAnsi="Times New Roman" w:cs="Times New Roman"/>
          <w:color w:val="000000" w:themeColor="text1"/>
          <w:sz w:val="28"/>
          <w:szCs w:val="28"/>
        </w:rPr>
        <w:t xml:space="preserve"> Латиноамериканських країнах</w:t>
      </w:r>
      <w:r w:rsidR="001C2264">
        <w:rPr>
          <w:rFonts w:ascii="Times New Roman" w:hAnsi="Times New Roman" w:cs="Times New Roman"/>
          <w:color w:val="000000" w:themeColor="text1"/>
          <w:sz w:val="28"/>
          <w:szCs w:val="28"/>
        </w:rPr>
        <w:t xml:space="preserve">. У </w:t>
      </w:r>
      <w:r w:rsidR="00A11F22" w:rsidRPr="00115C82">
        <w:rPr>
          <w:rFonts w:ascii="Times New Roman" w:hAnsi="Times New Roman" w:cs="Times New Roman"/>
          <w:color w:val="000000" w:themeColor="text1"/>
          <w:sz w:val="28"/>
          <w:szCs w:val="28"/>
        </w:rPr>
        <w:t>Мексиці та Аргентині</w:t>
      </w:r>
      <w:r w:rsidR="001C2264">
        <w:rPr>
          <w:rFonts w:ascii="Times New Roman" w:hAnsi="Times New Roman" w:cs="Times New Roman"/>
          <w:color w:val="000000" w:themeColor="text1"/>
          <w:sz w:val="28"/>
          <w:szCs w:val="28"/>
        </w:rPr>
        <w:t xml:space="preserve"> після дефолту було запроваджено низку заходів неоліберального спрямування: </w:t>
      </w:r>
      <w:r w:rsidR="00A11F22" w:rsidRPr="00115C82">
        <w:rPr>
          <w:rFonts w:ascii="Times New Roman" w:hAnsi="Times New Roman" w:cs="Times New Roman"/>
          <w:color w:val="000000" w:themeColor="text1"/>
          <w:sz w:val="28"/>
          <w:szCs w:val="28"/>
        </w:rPr>
        <w:t>знижен</w:t>
      </w:r>
      <w:r w:rsidR="001C2264">
        <w:rPr>
          <w:rFonts w:ascii="Times New Roman" w:hAnsi="Times New Roman" w:cs="Times New Roman"/>
          <w:color w:val="000000" w:themeColor="text1"/>
          <w:sz w:val="28"/>
          <w:szCs w:val="28"/>
        </w:rPr>
        <w:t>о</w:t>
      </w:r>
      <w:r w:rsidR="00A11F22" w:rsidRPr="00115C82">
        <w:rPr>
          <w:rFonts w:ascii="Times New Roman" w:hAnsi="Times New Roman" w:cs="Times New Roman"/>
          <w:color w:val="000000" w:themeColor="text1"/>
          <w:sz w:val="28"/>
          <w:szCs w:val="28"/>
        </w:rPr>
        <w:t xml:space="preserve"> митн</w:t>
      </w:r>
      <w:r w:rsidR="001C2264">
        <w:rPr>
          <w:rFonts w:ascii="Times New Roman" w:hAnsi="Times New Roman" w:cs="Times New Roman"/>
          <w:color w:val="000000" w:themeColor="text1"/>
          <w:sz w:val="28"/>
          <w:szCs w:val="28"/>
        </w:rPr>
        <w:t xml:space="preserve">і тарифи, </w:t>
      </w:r>
      <w:r w:rsidR="00A11F22" w:rsidRPr="00115C82">
        <w:rPr>
          <w:rFonts w:ascii="Times New Roman" w:hAnsi="Times New Roman" w:cs="Times New Roman"/>
          <w:color w:val="000000" w:themeColor="text1"/>
          <w:sz w:val="28"/>
          <w:szCs w:val="28"/>
        </w:rPr>
        <w:t>запроваджен</w:t>
      </w:r>
      <w:r w:rsidR="001C2264">
        <w:rPr>
          <w:rFonts w:ascii="Times New Roman" w:hAnsi="Times New Roman" w:cs="Times New Roman"/>
          <w:color w:val="000000" w:themeColor="text1"/>
          <w:sz w:val="28"/>
          <w:szCs w:val="28"/>
        </w:rPr>
        <w:t>о</w:t>
      </w:r>
      <w:r w:rsidR="00A11F22" w:rsidRPr="00115C82">
        <w:rPr>
          <w:rFonts w:ascii="Times New Roman" w:hAnsi="Times New Roman" w:cs="Times New Roman"/>
          <w:color w:val="000000" w:themeColor="text1"/>
          <w:sz w:val="28"/>
          <w:szCs w:val="28"/>
        </w:rPr>
        <w:t xml:space="preserve"> ліберальн</w:t>
      </w:r>
      <w:r w:rsidR="001C2264">
        <w:rPr>
          <w:rFonts w:ascii="Times New Roman" w:hAnsi="Times New Roman" w:cs="Times New Roman"/>
          <w:color w:val="000000" w:themeColor="text1"/>
          <w:sz w:val="28"/>
          <w:szCs w:val="28"/>
        </w:rPr>
        <w:t>е</w:t>
      </w:r>
      <w:r w:rsidR="00A11F22" w:rsidRPr="00115C82">
        <w:rPr>
          <w:rFonts w:ascii="Times New Roman" w:hAnsi="Times New Roman" w:cs="Times New Roman"/>
          <w:color w:val="000000" w:themeColor="text1"/>
          <w:sz w:val="28"/>
          <w:szCs w:val="28"/>
        </w:rPr>
        <w:t xml:space="preserve"> законодавств</w:t>
      </w:r>
      <w:r w:rsidR="001C2264">
        <w:rPr>
          <w:rFonts w:ascii="Times New Roman" w:hAnsi="Times New Roman" w:cs="Times New Roman"/>
          <w:color w:val="000000" w:themeColor="text1"/>
          <w:sz w:val="28"/>
          <w:szCs w:val="28"/>
        </w:rPr>
        <w:t>о задля залучення в країну і</w:t>
      </w:r>
      <w:r w:rsidR="00A11F22" w:rsidRPr="00115C82">
        <w:rPr>
          <w:rFonts w:ascii="Times New Roman" w:hAnsi="Times New Roman" w:cs="Times New Roman"/>
          <w:color w:val="000000" w:themeColor="text1"/>
          <w:sz w:val="28"/>
          <w:szCs w:val="28"/>
        </w:rPr>
        <w:t xml:space="preserve">ноземного капіталу, </w:t>
      </w:r>
      <w:r w:rsidR="001C2264">
        <w:rPr>
          <w:rFonts w:ascii="Times New Roman" w:hAnsi="Times New Roman" w:cs="Times New Roman"/>
          <w:color w:val="000000" w:themeColor="text1"/>
          <w:sz w:val="28"/>
          <w:szCs w:val="28"/>
        </w:rPr>
        <w:t xml:space="preserve">відбулося </w:t>
      </w:r>
      <w:r w:rsidR="00A11F22" w:rsidRPr="00115C82">
        <w:rPr>
          <w:rFonts w:ascii="Times New Roman" w:hAnsi="Times New Roman" w:cs="Times New Roman"/>
          <w:color w:val="000000" w:themeColor="text1"/>
          <w:sz w:val="28"/>
          <w:szCs w:val="28"/>
        </w:rPr>
        <w:t>дерегулювання фінансового сектора</w:t>
      </w:r>
      <w:r w:rsidR="001C2264">
        <w:rPr>
          <w:rFonts w:ascii="Times New Roman" w:hAnsi="Times New Roman" w:cs="Times New Roman"/>
          <w:color w:val="000000" w:themeColor="text1"/>
          <w:sz w:val="28"/>
          <w:szCs w:val="28"/>
        </w:rPr>
        <w:t xml:space="preserve">. Державний курс на </w:t>
      </w:r>
      <w:r w:rsidR="00A11F22" w:rsidRPr="00115C82">
        <w:rPr>
          <w:rFonts w:ascii="Times New Roman" w:hAnsi="Times New Roman" w:cs="Times New Roman"/>
          <w:color w:val="000000" w:themeColor="text1"/>
          <w:sz w:val="28"/>
          <w:szCs w:val="28"/>
        </w:rPr>
        <w:t xml:space="preserve">зниження бюджетних витрат </w:t>
      </w:r>
      <w:r w:rsidR="001C2264">
        <w:rPr>
          <w:rFonts w:ascii="Times New Roman" w:hAnsi="Times New Roman" w:cs="Times New Roman"/>
          <w:color w:val="000000" w:themeColor="text1"/>
          <w:sz w:val="28"/>
          <w:szCs w:val="28"/>
        </w:rPr>
        <w:t xml:space="preserve">та «затягування пасків» </w:t>
      </w:r>
      <w:proofErr w:type="spellStart"/>
      <w:r w:rsidR="00A11F22" w:rsidRPr="00115C82">
        <w:rPr>
          <w:rFonts w:ascii="Times New Roman" w:hAnsi="Times New Roman" w:cs="Times New Roman"/>
          <w:color w:val="000000" w:themeColor="text1"/>
          <w:sz w:val="28"/>
          <w:szCs w:val="28"/>
        </w:rPr>
        <w:t>поєд</w:t>
      </w:r>
      <w:r w:rsidR="001C2264">
        <w:rPr>
          <w:rFonts w:ascii="Times New Roman" w:hAnsi="Times New Roman" w:cs="Times New Roman"/>
          <w:color w:val="000000" w:themeColor="text1"/>
          <w:sz w:val="28"/>
          <w:szCs w:val="28"/>
        </w:rPr>
        <w:t>увався</w:t>
      </w:r>
      <w:proofErr w:type="spellEnd"/>
      <w:r w:rsidR="001C2264">
        <w:rPr>
          <w:rFonts w:ascii="Times New Roman" w:hAnsi="Times New Roman" w:cs="Times New Roman"/>
          <w:color w:val="000000" w:themeColor="text1"/>
          <w:sz w:val="28"/>
          <w:szCs w:val="28"/>
        </w:rPr>
        <w:t xml:space="preserve"> </w:t>
      </w:r>
      <w:r w:rsidR="00A11F22" w:rsidRPr="00115C82">
        <w:rPr>
          <w:rFonts w:ascii="Times New Roman" w:hAnsi="Times New Roman" w:cs="Times New Roman"/>
          <w:color w:val="000000" w:themeColor="text1"/>
          <w:sz w:val="28"/>
          <w:szCs w:val="28"/>
        </w:rPr>
        <w:t>з великомасштабними програмами приватизації</w:t>
      </w:r>
      <w:r w:rsidR="001C2264">
        <w:rPr>
          <w:rFonts w:ascii="Times New Roman" w:hAnsi="Times New Roman" w:cs="Times New Roman"/>
          <w:color w:val="000000" w:themeColor="text1"/>
          <w:sz w:val="28"/>
          <w:szCs w:val="28"/>
        </w:rPr>
        <w:t xml:space="preserve"> державних об'єктів промисловості, підприємств гірничодобувної галузі</w:t>
      </w:r>
      <w:r w:rsidR="00A11F22" w:rsidRPr="00115C82">
        <w:rPr>
          <w:rFonts w:ascii="Times New Roman" w:hAnsi="Times New Roman" w:cs="Times New Roman"/>
          <w:color w:val="000000" w:themeColor="text1"/>
          <w:sz w:val="28"/>
          <w:szCs w:val="28"/>
        </w:rPr>
        <w:t xml:space="preserve">, </w:t>
      </w:r>
      <w:r w:rsidR="001C2264">
        <w:rPr>
          <w:rFonts w:ascii="Times New Roman" w:hAnsi="Times New Roman" w:cs="Times New Roman"/>
          <w:color w:val="000000" w:themeColor="text1"/>
          <w:sz w:val="28"/>
          <w:szCs w:val="28"/>
        </w:rPr>
        <w:t xml:space="preserve">з одночасним стимулюванням розвитку приватного бізнесу. </w:t>
      </w:r>
    </w:p>
    <w:p w:rsidR="004A7F03" w:rsidRDefault="001C2264" w:rsidP="004A7F03">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Цікаво зазначити, що у </w:t>
      </w:r>
      <w:r w:rsidR="00A11F22" w:rsidRPr="00115C82">
        <w:rPr>
          <w:rFonts w:ascii="Times New Roman" w:hAnsi="Times New Roman" w:cs="Times New Roman"/>
          <w:color w:val="000000" w:themeColor="text1"/>
          <w:sz w:val="28"/>
          <w:szCs w:val="28"/>
        </w:rPr>
        <w:t xml:space="preserve">мексиканської моделі </w:t>
      </w:r>
      <w:r>
        <w:rPr>
          <w:rFonts w:ascii="Times New Roman" w:hAnsi="Times New Roman" w:cs="Times New Roman"/>
          <w:color w:val="000000" w:themeColor="text1"/>
          <w:sz w:val="28"/>
          <w:szCs w:val="28"/>
        </w:rPr>
        <w:t xml:space="preserve">виходу з </w:t>
      </w:r>
      <w:proofErr w:type="spellStart"/>
      <w:r>
        <w:rPr>
          <w:rFonts w:ascii="Times New Roman" w:hAnsi="Times New Roman" w:cs="Times New Roman"/>
          <w:color w:val="000000" w:themeColor="text1"/>
          <w:sz w:val="28"/>
          <w:szCs w:val="28"/>
        </w:rPr>
        <w:t>дефолтного</w:t>
      </w:r>
      <w:proofErr w:type="spellEnd"/>
      <w:r>
        <w:rPr>
          <w:rFonts w:ascii="Times New Roman" w:hAnsi="Times New Roman" w:cs="Times New Roman"/>
          <w:color w:val="000000" w:themeColor="text1"/>
          <w:sz w:val="28"/>
          <w:szCs w:val="28"/>
        </w:rPr>
        <w:t xml:space="preserve"> стану було майже нівельовано </w:t>
      </w:r>
      <w:r w:rsidR="00A11F22" w:rsidRPr="00115C82">
        <w:rPr>
          <w:rFonts w:ascii="Times New Roman" w:hAnsi="Times New Roman" w:cs="Times New Roman"/>
          <w:color w:val="000000" w:themeColor="text1"/>
          <w:sz w:val="28"/>
          <w:szCs w:val="28"/>
        </w:rPr>
        <w:t>соціальні ризики</w:t>
      </w:r>
      <w:r>
        <w:rPr>
          <w:rFonts w:ascii="Times New Roman" w:hAnsi="Times New Roman" w:cs="Times New Roman"/>
          <w:color w:val="000000" w:themeColor="text1"/>
          <w:sz w:val="28"/>
          <w:szCs w:val="28"/>
        </w:rPr>
        <w:t xml:space="preserve">. </w:t>
      </w:r>
      <w:r w:rsidR="004A7F03">
        <w:rPr>
          <w:rFonts w:ascii="Times New Roman" w:hAnsi="Times New Roman" w:cs="Times New Roman"/>
          <w:color w:val="000000" w:themeColor="text1"/>
          <w:sz w:val="28"/>
          <w:szCs w:val="28"/>
        </w:rPr>
        <w:t xml:space="preserve">У Мексиці </w:t>
      </w:r>
      <w:r w:rsidR="00A11F22" w:rsidRPr="00115C82">
        <w:rPr>
          <w:rFonts w:ascii="Times New Roman" w:hAnsi="Times New Roman" w:cs="Times New Roman"/>
          <w:color w:val="000000" w:themeColor="text1"/>
          <w:sz w:val="28"/>
          <w:szCs w:val="28"/>
        </w:rPr>
        <w:t xml:space="preserve">гарантією </w:t>
      </w:r>
      <w:r w:rsidR="004A7F03">
        <w:rPr>
          <w:rFonts w:ascii="Times New Roman" w:hAnsi="Times New Roman" w:cs="Times New Roman"/>
          <w:color w:val="000000" w:themeColor="text1"/>
          <w:sz w:val="28"/>
          <w:szCs w:val="28"/>
        </w:rPr>
        <w:t xml:space="preserve">соціальної стабільності стали </w:t>
      </w:r>
      <w:r w:rsidR="00A11F22" w:rsidRPr="00115C82">
        <w:rPr>
          <w:rFonts w:ascii="Times New Roman" w:hAnsi="Times New Roman" w:cs="Times New Roman"/>
          <w:color w:val="000000" w:themeColor="text1"/>
          <w:sz w:val="28"/>
          <w:szCs w:val="28"/>
        </w:rPr>
        <w:t xml:space="preserve">періодично поновлювані угоди уряду з профспілками та підприємцями, так звані «Пакти стабілізації, </w:t>
      </w:r>
      <w:proofErr w:type="spellStart"/>
      <w:r w:rsidR="00A11F22" w:rsidRPr="00115C82">
        <w:rPr>
          <w:rFonts w:ascii="Times New Roman" w:hAnsi="Times New Roman" w:cs="Times New Roman"/>
          <w:color w:val="000000" w:themeColor="text1"/>
          <w:sz w:val="28"/>
          <w:szCs w:val="28"/>
        </w:rPr>
        <w:t>конкурентності</w:t>
      </w:r>
      <w:proofErr w:type="spellEnd"/>
      <w:r w:rsidR="00A11F22" w:rsidRPr="00115C82">
        <w:rPr>
          <w:rFonts w:ascii="Times New Roman" w:hAnsi="Times New Roman" w:cs="Times New Roman"/>
          <w:color w:val="000000" w:themeColor="text1"/>
          <w:sz w:val="28"/>
          <w:szCs w:val="28"/>
        </w:rPr>
        <w:t xml:space="preserve"> та зайнятості»</w:t>
      </w:r>
      <w:r w:rsidR="004A7F03">
        <w:rPr>
          <w:rFonts w:ascii="Times New Roman" w:hAnsi="Times New Roman" w:cs="Times New Roman"/>
          <w:color w:val="000000" w:themeColor="text1"/>
          <w:sz w:val="28"/>
          <w:szCs w:val="28"/>
        </w:rPr>
        <w:t>, завдяки яким було винайдено суспільний консенсус, а профспілки не ставали у жорстку опозицію до рішень влади.</w:t>
      </w:r>
      <w:r w:rsidR="00A11F22" w:rsidRPr="00115C82">
        <w:rPr>
          <w:rFonts w:ascii="Times New Roman" w:hAnsi="Times New Roman" w:cs="Times New Roman"/>
          <w:color w:val="000000" w:themeColor="text1"/>
          <w:sz w:val="28"/>
          <w:szCs w:val="28"/>
        </w:rPr>
        <w:t xml:space="preserve"> У здійсненні стабілізаційної програми </w:t>
      </w:r>
      <w:r w:rsidR="004A7F03">
        <w:rPr>
          <w:rFonts w:ascii="Times New Roman" w:hAnsi="Times New Roman" w:cs="Times New Roman"/>
          <w:color w:val="000000" w:themeColor="text1"/>
          <w:sz w:val="28"/>
          <w:szCs w:val="28"/>
        </w:rPr>
        <w:t xml:space="preserve">у Мексиці </w:t>
      </w:r>
      <w:r w:rsidR="00A11F22" w:rsidRPr="00115C82">
        <w:rPr>
          <w:rFonts w:ascii="Times New Roman" w:hAnsi="Times New Roman" w:cs="Times New Roman"/>
          <w:color w:val="000000" w:themeColor="text1"/>
          <w:sz w:val="28"/>
          <w:szCs w:val="28"/>
        </w:rPr>
        <w:t xml:space="preserve">брали активну участь не тільки виконавчі, а й законодавчі </w:t>
      </w:r>
      <w:r w:rsidR="004A7F03">
        <w:rPr>
          <w:rFonts w:ascii="Times New Roman" w:hAnsi="Times New Roman" w:cs="Times New Roman"/>
          <w:color w:val="000000" w:themeColor="text1"/>
          <w:sz w:val="28"/>
          <w:szCs w:val="28"/>
        </w:rPr>
        <w:t xml:space="preserve">органи </w:t>
      </w:r>
      <w:r w:rsidR="004A7F03">
        <w:rPr>
          <w:rFonts w:ascii="Times New Roman" w:hAnsi="Times New Roman" w:cs="Times New Roman"/>
          <w:color w:val="000000" w:themeColor="text1"/>
          <w:sz w:val="28"/>
          <w:szCs w:val="28"/>
        </w:rPr>
        <w:lastRenderedPageBreak/>
        <w:t>влади, приймалися відповідні закони, зорієнтовані на р</w:t>
      </w:r>
      <w:r w:rsidR="00A11F22" w:rsidRPr="00115C82">
        <w:rPr>
          <w:rFonts w:ascii="Times New Roman" w:hAnsi="Times New Roman" w:cs="Times New Roman"/>
          <w:color w:val="000000" w:themeColor="text1"/>
          <w:sz w:val="28"/>
          <w:szCs w:val="28"/>
        </w:rPr>
        <w:t>еформування фінансово-</w:t>
      </w:r>
      <w:r w:rsidR="004A7F03">
        <w:rPr>
          <w:rFonts w:ascii="Times New Roman" w:hAnsi="Times New Roman" w:cs="Times New Roman"/>
          <w:color w:val="000000" w:themeColor="text1"/>
          <w:sz w:val="28"/>
          <w:szCs w:val="28"/>
        </w:rPr>
        <w:t xml:space="preserve">кредитної сфери </w:t>
      </w:r>
      <w:r w:rsidR="00A11F22" w:rsidRPr="00115C82">
        <w:rPr>
          <w:rFonts w:ascii="Times New Roman" w:hAnsi="Times New Roman" w:cs="Times New Roman"/>
          <w:color w:val="000000" w:themeColor="text1"/>
          <w:sz w:val="28"/>
          <w:szCs w:val="28"/>
        </w:rPr>
        <w:t xml:space="preserve">та </w:t>
      </w:r>
      <w:r w:rsidR="004A7F03">
        <w:rPr>
          <w:rFonts w:ascii="Times New Roman" w:hAnsi="Times New Roman" w:cs="Times New Roman"/>
          <w:color w:val="000000" w:themeColor="text1"/>
          <w:sz w:val="28"/>
          <w:szCs w:val="28"/>
        </w:rPr>
        <w:t>структурну перебудову с</w:t>
      </w:r>
      <w:r w:rsidR="00A11F22" w:rsidRPr="00115C82">
        <w:rPr>
          <w:rFonts w:ascii="Times New Roman" w:hAnsi="Times New Roman" w:cs="Times New Roman"/>
          <w:color w:val="000000" w:themeColor="text1"/>
          <w:sz w:val="28"/>
          <w:szCs w:val="28"/>
        </w:rPr>
        <w:t>е</w:t>
      </w:r>
      <w:r w:rsidR="004A7F03">
        <w:rPr>
          <w:rFonts w:ascii="Times New Roman" w:hAnsi="Times New Roman" w:cs="Times New Roman"/>
          <w:color w:val="000000" w:themeColor="text1"/>
          <w:sz w:val="28"/>
          <w:szCs w:val="28"/>
        </w:rPr>
        <w:t xml:space="preserve">кторів </w:t>
      </w:r>
      <w:r w:rsidR="00A11F22" w:rsidRPr="00115C82">
        <w:rPr>
          <w:rFonts w:ascii="Times New Roman" w:hAnsi="Times New Roman" w:cs="Times New Roman"/>
          <w:color w:val="000000" w:themeColor="text1"/>
          <w:sz w:val="28"/>
          <w:szCs w:val="28"/>
        </w:rPr>
        <w:t>національної економіки</w:t>
      </w:r>
      <w:r w:rsidR="004A7F03">
        <w:rPr>
          <w:rFonts w:ascii="Times New Roman" w:hAnsi="Times New Roman" w:cs="Times New Roman"/>
          <w:color w:val="000000" w:themeColor="text1"/>
          <w:sz w:val="28"/>
          <w:szCs w:val="28"/>
        </w:rPr>
        <w:t xml:space="preserve">. </w:t>
      </w:r>
    </w:p>
    <w:p w:rsidR="00114955" w:rsidRDefault="004A7F03" w:rsidP="004A7F03">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Аргентині центральною ланкою антикризових, </w:t>
      </w:r>
      <w:proofErr w:type="spellStart"/>
      <w:r>
        <w:rPr>
          <w:rFonts w:ascii="Times New Roman" w:hAnsi="Times New Roman" w:cs="Times New Roman"/>
          <w:color w:val="000000" w:themeColor="text1"/>
          <w:sz w:val="28"/>
          <w:szCs w:val="28"/>
        </w:rPr>
        <w:t>антидефолтних</w:t>
      </w:r>
      <w:proofErr w:type="spellEnd"/>
      <w:r>
        <w:rPr>
          <w:rFonts w:ascii="Times New Roman" w:hAnsi="Times New Roman" w:cs="Times New Roman"/>
          <w:color w:val="000000" w:themeColor="text1"/>
          <w:sz w:val="28"/>
          <w:szCs w:val="28"/>
        </w:rPr>
        <w:t xml:space="preserve"> </w:t>
      </w:r>
      <w:r w:rsidR="00115C82" w:rsidRPr="00115C82">
        <w:rPr>
          <w:rFonts w:ascii="Times New Roman" w:hAnsi="Times New Roman" w:cs="Times New Roman"/>
          <w:color w:val="000000" w:themeColor="text1"/>
          <w:sz w:val="28"/>
          <w:szCs w:val="28"/>
        </w:rPr>
        <w:t>програм стали грошова та валютн</w:t>
      </w:r>
      <w:r>
        <w:rPr>
          <w:rFonts w:ascii="Times New Roman" w:hAnsi="Times New Roman" w:cs="Times New Roman"/>
          <w:color w:val="000000" w:themeColor="text1"/>
          <w:sz w:val="28"/>
          <w:szCs w:val="28"/>
        </w:rPr>
        <w:t>а</w:t>
      </w:r>
      <w:r w:rsidR="00115C82" w:rsidRPr="00115C82">
        <w:rPr>
          <w:rFonts w:ascii="Times New Roman" w:hAnsi="Times New Roman" w:cs="Times New Roman"/>
          <w:color w:val="000000" w:themeColor="text1"/>
          <w:sz w:val="28"/>
          <w:szCs w:val="28"/>
        </w:rPr>
        <w:t xml:space="preserve"> реформи. В Аргентині </w:t>
      </w:r>
      <w:proofErr w:type="spellStart"/>
      <w:r w:rsidR="00115C82" w:rsidRPr="00115C82">
        <w:rPr>
          <w:rFonts w:ascii="Times New Roman" w:hAnsi="Times New Roman" w:cs="Times New Roman"/>
          <w:color w:val="000000" w:themeColor="text1"/>
          <w:sz w:val="28"/>
          <w:szCs w:val="28"/>
        </w:rPr>
        <w:t>гіперінфляційний</w:t>
      </w:r>
      <w:proofErr w:type="spellEnd"/>
      <w:r w:rsidR="00115C82" w:rsidRPr="00115C82">
        <w:rPr>
          <w:rFonts w:ascii="Times New Roman" w:hAnsi="Times New Roman" w:cs="Times New Roman"/>
          <w:color w:val="000000" w:themeColor="text1"/>
          <w:sz w:val="28"/>
          <w:szCs w:val="28"/>
        </w:rPr>
        <w:t xml:space="preserve"> вибух викликав створення валютної системи, за якої курс національної грошової одиниці був прив'язаний до долара США, </w:t>
      </w:r>
      <w:r w:rsidR="00114955">
        <w:rPr>
          <w:rFonts w:ascii="Times New Roman" w:hAnsi="Times New Roman" w:cs="Times New Roman"/>
          <w:color w:val="000000" w:themeColor="text1"/>
          <w:sz w:val="28"/>
          <w:szCs w:val="28"/>
        </w:rPr>
        <w:t xml:space="preserve">а одночасне введення жорстких монетарних валютних обмежень унеможливило всі спроби провести політику кредитно-грошової експансії для виходу національної економіки з рецесії.  Безробіття в Аргентині після оголошення дефолту швидко зростало, особливо серед молоді. Падіння купівельної спроможності населення та гіперінфляція спричинили «банківську паніку», масове зняття населенням депозитів з банківських рахунків. Як відповідь на «банківську паніку», уряд частково вдався до «заморожування» депозитів та примусового переведення валютних депозитів у депозити </w:t>
      </w:r>
      <w:r w:rsidR="00CA4828">
        <w:rPr>
          <w:rFonts w:ascii="Times New Roman" w:hAnsi="Times New Roman" w:cs="Times New Roman"/>
          <w:color w:val="000000" w:themeColor="text1"/>
          <w:sz w:val="28"/>
          <w:szCs w:val="28"/>
        </w:rPr>
        <w:t xml:space="preserve">місцевої, </w:t>
      </w:r>
      <w:r w:rsidR="00114955">
        <w:rPr>
          <w:rFonts w:ascii="Times New Roman" w:hAnsi="Times New Roman" w:cs="Times New Roman"/>
          <w:color w:val="000000" w:themeColor="text1"/>
          <w:sz w:val="28"/>
          <w:szCs w:val="28"/>
        </w:rPr>
        <w:t>національн</w:t>
      </w:r>
      <w:r w:rsidR="00CA4828">
        <w:rPr>
          <w:rFonts w:ascii="Times New Roman" w:hAnsi="Times New Roman" w:cs="Times New Roman"/>
          <w:color w:val="000000" w:themeColor="text1"/>
          <w:sz w:val="28"/>
          <w:szCs w:val="28"/>
        </w:rPr>
        <w:t>ої грошової</w:t>
      </w:r>
      <w:r w:rsidR="00114955">
        <w:rPr>
          <w:rFonts w:ascii="Times New Roman" w:hAnsi="Times New Roman" w:cs="Times New Roman"/>
          <w:color w:val="000000" w:themeColor="text1"/>
          <w:sz w:val="28"/>
          <w:szCs w:val="28"/>
        </w:rPr>
        <w:t xml:space="preserve"> одиниці.  </w:t>
      </w:r>
      <w:r w:rsidR="00CA4828">
        <w:rPr>
          <w:rFonts w:ascii="Times New Roman" w:hAnsi="Times New Roman" w:cs="Times New Roman"/>
          <w:color w:val="000000" w:themeColor="text1"/>
          <w:sz w:val="28"/>
          <w:szCs w:val="28"/>
        </w:rPr>
        <w:t xml:space="preserve">Найбільше втратили від запровадження таких заходів домашні господарства, середній клас, </w:t>
      </w:r>
      <w:proofErr w:type="spellStart"/>
      <w:r w:rsidR="00CA4828">
        <w:rPr>
          <w:rFonts w:ascii="Times New Roman" w:hAnsi="Times New Roman" w:cs="Times New Roman"/>
          <w:color w:val="000000" w:themeColor="text1"/>
          <w:sz w:val="28"/>
          <w:szCs w:val="28"/>
        </w:rPr>
        <w:t>самозайняті</w:t>
      </w:r>
      <w:proofErr w:type="spellEnd"/>
      <w:r w:rsidR="00CA4828">
        <w:rPr>
          <w:rFonts w:ascii="Times New Roman" w:hAnsi="Times New Roman" w:cs="Times New Roman"/>
          <w:color w:val="000000" w:themeColor="text1"/>
          <w:sz w:val="28"/>
          <w:szCs w:val="28"/>
        </w:rPr>
        <w:t xml:space="preserve"> та малий бізнес. Остаточно Аргентина вийшла з дефолту після реструктуризації зовнішніх боргів. </w:t>
      </w:r>
    </w:p>
    <w:p w:rsidR="005F1488" w:rsidRDefault="00CA4828" w:rsidP="00CA482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цілому, </w:t>
      </w:r>
      <w:r w:rsidRPr="00115C82">
        <w:rPr>
          <w:rFonts w:ascii="Times New Roman" w:hAnsi="Times New Roman" w:cs="Times New Roman"/>
          <w:color w:val="000000" w:themeColor="text1"/>
          <w:sz w:val="28"/>
          <w:szCs w:val="28"/>
        </w:rPr>
        <w:t>незважаючи на різницю у тактичних</w:t>
      </w:r>
      <w:r>
        <w:rPr>
          <w:rFonts w:ascii="Times New Roman" w:hAnsi="Times New Roman" w:cs="Times New Roman"/>
          <w:color w:val="000000" w:themeColor="text1"/>
          <w:sz w:val="28"/>
          <w:szCs w:val="28"/>
        </w:rPr>
        <w:t xml:space="preserve">, короткострокових </w:t>
      </w:r>
      <w:proofErr w:type="spellStart"/>
      <w:r>
        <w:rPr>
          <w:rFonts w:ascii="Times New Roman" w:hAnsi="Times New Roman" w:cs="Times New Roman"/>
          <w:color w:val="000000" w:themeColor="text1"/>
          <w:sz w:val="28"/>
          <w:szCs w:val="28"/>
        </w:rPr>
        <w:t>антидефолтних</w:t>
      </w:r>
      <w:proofErr w:type="spellEnd"/>
      <w:r>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 xml:space="preserve">заходах, у </w:t>
      </w:r>
      <w:r>
        <w:rPr>
          <w:rFonts w:ascii="Times New Roman" w:hAnsi="Times New Roman" w:cs="Times New Roman"/>
          <w:color w:val="000000" w:themeColor="text1"/>
          <w:sz w:val="28"/>
          <w:szCs w:val="28"/>
        </w:rPr>
        <w:t xml:space="preserve">Аргентині та у Мексиці </w:t>
      </w:r>
      <w:r w:rsidRPr="00115C82">
        <w:rPr>
          <w:rFonts w:ascii="Times New Roman" w:hAnsi="Times New Roman" w:cs="Times New Roman"/>
          <w:color w:val="000000" w:themeColor="text1"/>
          <w:sz w:val="28"/>
          <w:szCs w:val="28"/>
        </w:rPr>
        <w:t>переважа</w:t>
      </w:r>
      <w:r>
        <w:rPr>
          <w:rFonts w:ascii="Times New Roman" w:hAnsi="Times New Roman" w:cs="Times New Roman"/>
          <w:color w:val="000000" w:themeColor="text1"/>
          <w:sz w:val="28"/>
          <w:szCs w:val="28"/>
        </w:rPr>
        <w:t xml:space="preserve">в  курс </w:t>
      </w:r>
      <w:r w:rsidRPr="00115C82">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запровадження монетарних заходів, орієнтація на с</w:t>
      </w:r>
      <w:r w:rsidRPr="00115C82">
        <w:rPr>
          <w:rFonts w:ascii="Times New Roman" w:hAnsi="Times New Roman" w:cs="Times New Roman"/>
          <w:color w:val="000000" w:themeColor="text1"/>
          <w:sz w:val="28"/>
          <w:szCs w:val="28"/>
        </w:rPr>
        <w:t>табілізацію фіна</w:t>
      </w:r>
      <w:r>
        <w:rPr>
          <w:rFonts w:ascii="Times New Roman" w:hAnsi="Times New Roman" w:cs="Times New Roman"/>
          <w:color w:val="000000" w:themeColor="text1"/>
          <w:sz w:val="28"/>
          <w:szCs w:val="28"/>
        </w:rPr>
        <w:t xml:space="preserve">нсового сектора, зниження темпів </w:t>
      </w:r>
      <w:r w:rsidRPr="00115C82">
        <w:rPr>
          <w:rFonts w:ascii="Times New Roman" w:hAnsi="Times New Roman" w:cs="Times New Roman"/>
          <w:color w:val="000000" w:themeColor="text1"/>
          <w:sz w:val="28"/>
          <w:szCs w:val="28"/>
        </w:rPr>
        <w:t>інфляції</w:t>
      </w:r>
      <w:r>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оздоровлення кредитно-грошової системи</w:t>
      </w:r>
      <w:r>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Одночасно</w:t>
      </w:r>
      <w:r w:rsidR="005F1488">
        <w:rPr>
          <w:rFonts w:ascii="Times New Roman" w:hAnsi="Times New Roman" w:cs="Times New Roman"/>
          <w:color w:val="000000" w:themeColor="text1"/>
          <w:sz w:val="28"/>
          <w:szCs w:val="28"/>
        </w:rPr>
        <w:t>, внаслідок зниження кредитних ставок у США, зарубіжні</w:t>
      </w:r>
      <w:r w:rsidRPr="00115C82">
        <w:rPr>
          <w:rFonts w:ascii="Times New Roman" w:hAnsi="Times New Roman" w:cs="Times New Roman"/>
          <w:color w:val="000000" w:themeColor="text1"/>
          <w:sz w:val="28"/>
          <w:szCs w:val="28"/>
        </w:rPr>
        <w:t xml:space="preserve"> інвестор</w:t>
      </w:r>
      <w:r w:rsidR="005F1488">
        <w:rPr>
          <w:rFonts w:ascii="Times New Roman" w:hAnsi="Times New Roman" w:cs="Times New Roman"/>
          <w:color w:val="000000" w:themeColor="text1"/>
          <w:sz w:val="28"/>
          <w:szCs w:val="28"/>
        </w:rPr>
        <w:t xml:space="preserve">и – </w:t>
      </w:r>
      <w:r w:rsidRPr="00115C82">
        <w:rPr>
          <w:rFonts w:ascii="Times New Roman" w:hAnsi="Times New Roman" w:cs="Times New Roman"/>
          <w:color w:val="000000" w:themeColor="text1"/>
          <w:sz w:val="28"/>
          <w:szCs w:val="28"/>
        </w:rPr>
        <w:t>пенсійні</w:t>
      </w:r>
      <w:r w:rsidR="005F1488">
        <w:rPr>
          <w:rFonts w:ascii="Times New Roman" w:hAnsi="Times New Roman" w:cs="Times New Roman"/>
          <w:color w:val="000000" w:themeColor="text1"/>
          <w:sz w:val="28"/>
          <w:szCs w:val="28"/>
        </w:rPr>
        <w:t xml:space="preserve">, інвестиційні </w:t>
      </w:r>
      <w:r w:rsidRPr="00115C82">
        <w:rPr>
          <w:rFonts w:ascii="Times New Roman" w:hAnsi="Times New Roman" w:cs="Times New Roman"/>
          <w:color w:val="000000" w:themeColor="text1"/>
          <w:sz w:val="28"/>
          <w:szCs w:val="28"/>
        </w:rPr>
        <w:t xml:space="preserve">фонди, страхові компанії </w:t>
      </w:r>
      <w:r w:rsidR="005F1488">
        <w:rPr>
          <w:rFonts w:ascii="Times New Roman" w:hAnsi="Times New Roman" w:cs="Times New Roman"/>
          <w:color w:val="000000" w:themeColor="text1"/>
          <w:sz w:val="28"/>
          <w:szCs w:val="28"/>
        </w:rPr>
        <w:t xml:space="preserve">почали інвестувати на ринки країн Латинської Америки під вищі відсотки. Іноземні інвестори також прийняли </w:t>
      </w:r>
      <w:proofErr w:type="spellStart"/>
      <w:r w:rsidR="005F1488">
        <w:rPr>
          <w:rFonts w:ascii="Times New Roman" w:hAnsi="Times New Roman" w:cs="Times New Roman"/>
          <w:color w:val="000000" w:themeColor="text1"/>
          <w:sz w:val="28"/>
          <w:szCs w:val="28"/>
        </w:rPr>
        <w:t>актвину</w:t>
      </w:r>
      <w:proofErr w:type="spellEnd"/>
      <w:r w:rsidR="005F1488">
        <w:rPr>
          <w:rFonts w:ascii="Times New Roman" w:hAnsi="Times New Roman" w:cs="Times New Roman"/>
          <w:color w:val="000000" w:themeColor="text1"/>
          <w:sz w:val="28"/>
          <w:szCs w:val="28"/>
        </w:rPr>
        <w:t xml:space="preserve"> участь у приватизації державних підприємств Мексики та Аргентини, розпочату після оголошення дефолту. Приватизація, монетарні заходи та регулювання кредитно-фінансової сфери відповідали неоліберальній моделі господарювання та були зорієнтовані на стимулювання приватногосподарської ініціативи та розвиток приватного бізнесу, що розглядалося як основа економічного зростання.  Як свідчать дані рис. 4, </w:t>
      </w:r>
      <w:r w:rsidR="005F1488">
        <w:rPr>
          <w:rFonts w:ascii="Times New Roman" w:hAnsi="Times New Roman" w:cs="Times New Roman"/>
          <w:color w:val="000000" w:themeColor="text1"/>
          <w:sz w:val="28"/>
          <w:szCs w:val="28"/>
        </w:rPr>
        <w:lastRenderedPageBreak/>
        <w:t xml:space="preserve">динаміка зовнішнього боргу Мексики та Аргентини </w:t>
      </w:r>
      <w:r w:rsidR="00D96352">
        <w:rPr>
          <w:rFonts w:ascii="Times New Roman" w:hAnsi="Times New Roman" w:cs="Times New Roman"/>
          <w:color w:val="000000" w:themeColor="text1"/>
          <w:sz w:val="28"/>
          <w:szCs w:val="28"/>
        </w:rPr>
        <w:t xml:space="preserve">у 2017 р. демонструє </w:t>
      </w:r>
      <w:r w:rsidR="005F1488">
        <w:rPr>
          <w:rFonts w:ascii="Times New Roman" w:hAnsi="Times New Roman" w:cs="Times New Roman"/>
          <w:color w:val="000000" w:themeColor="text1"/>
          <w:sz w:val="28"/>
          <w:szCs w:val="28"/>
        </w:rPr>
        <w:t xml:space="preserve">тенденцію до зменшення. </w:t>
      </w:r>
    </w:p>
    <w:p w:rsidR="00A11F22" w:rsidRPr="00115C82" w:rsidRDefault="00A11F22" w:rsidP="00A11F22">
      <w:pPr>
        <w:spacing w:line="360" w:lineRule="auto"/>
        <w:jc w:val="both"/>
        <w:rPr>
          <w:rFonts w:ascii="Times New Roman" w:hAnsi="Times New Roman" w:cs="Times New Roman"/>
          <w:color w:val="000000" w:themeColor="text1"/>
          <w:sz w:val="28"/>
          <w:szCs w:val="28"/>
        </w:rPr>
      </w:pPr>
      <w:r w:rsidRPr="00115C82">
        <w:rPr>
          <w:rFonts w:ascii="Times New Roman" w:hAnsi="Times New Roman" w:cs="Times New Roman"/>
          <w:noProof/>
          <w:color w:val="000000" w:themeColor="text1"/>
          <w:lang w:val="ru-RU"/>
        </w:rPr>
        <w:drawing>
          <wp:inline distT="0" distB="0" distL="0" distR="0">
            <wp:extent cx="2850515" cy="3655019"/>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F1488">
        <w:rPr>
          <w:rFonts w:ascii="Times New Roman" w:hAnsi="Times New Roman" w:cs="Times New Roman"/>
          <w:noProof/>
          <w:color w:val="000000" w:themeColor="text1"/>
        </w:rPr>
        <w:t xml:space="preserve"> </w:t>
      </w:r>
      <w:r w:rsidRPr="00115C82">
        <w:rPr>
          <w:rFonts w:ascii="Times New Roman" w:hAnsi="Times New Roman" w:cs="Times New Roman"/>
          <w:noProof/>
          <w:color w:val="000000" w:themeColor="text1"/>
          <w:lang w:val="ru-RU"/>
        </w:rPr>
        <w:drawing>
          <wp:inline distT="0" distB="0" distL="0" distR="0">
            <wp:extent cx="2736215" cy="3664360"/>
            <wp:effectExtent l="0" t="0" r="698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7F03" w:rsidRDefault="004A7F03" w:rsidP="00A11F22">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Рис. 4.а                                                   Рис. 4.б </w:t>
      </w:r>
    </w:p>
    <w:p w:rsidR="00A11F22" w:rsidRPr="00115C82" w:rsidRDefault="00115C82" w:rsidP="00A11F22">
      <w:pPr>
        <w:spacing w:line="360" w:lineRule="auto"/>
        <w:jc w:val="both"/>
        <w:rPr>
          <w:rFonts w:ascii="Times New Roman" w:hAnsi="Times New Roman" w:cs="Times New Roman"/>
          <w:b/>
          <w:color w:val="000000" w:themeColor="text1"/>
          <w:sz w:val="28"/>
          <w:szCs w:val="28"/>
        </w:rPr>
      </w:pPr>
      <w:r w:rsidRPr="00115C82">
        <w:rPr>
          <w:rFonts w:ascii="Times New Roman" w:hAnsi="Times New Roman" w:cs="Times New Roman"/>
          <w:b/>
          <w:color w:val="000000" w:themeColor="text1"/>
          <w:sz w:val="28"/>
          <w:szCs w:val="28"/>
        </w:rPr>
        <w:t>Рис</w:t>
      </w:r>
      <w:r w:rsidR="005F1488">
        <w:rPr>
          <w:rFonts w:ascii="Times New Roman" w:hAnsi="Times New Roman" w:cs="Times New Roman"/>
          <w:b/>
          <w:color w:val="000000" w:themeColor="text1"/>
          <w:sz w:val="28"/>
          <w:szCs w:val="28"/>
        </w:rPr>
        <w:t>.</w:t>
      </w:r>
      <w:r w:rsidRPr="00115C82">
        <w:rPr>
          <w:rFonts w:ascii="Times New Roman" w:hAnsi="Times New Roman" w:cs="Times New Roman"/>
          <w:b/>
          <w:color w:val="000000" w:themeColor="text1"/>
          <w:sz w:val="28"/>
          <w:szCs w:val="28"/>
        </w:rPr>
        <w:t xml:space="preserve"> 4</w:t>
      </w:r>
      <w:r w:rsidR="00A11F22" w:rsidRPr="00115C82">
        <w:rPr>
          <w:rFonts w:ascii="Times New Roman" w:hAnsi="Times New Roman" w:cs="Times New Roman"/>
          <w:b/>
          <w:color w:val="000000" w:themeColor="text1"/>
          <w:sz w:val="28"/>
          <w:szCs w:val="28"/>
        </w:rPr>
        <w:t xml:space="preserve"> Динаміка зовнішнього боргу Мексики</w:t>
      </w:r>
      <w:r w:rsidR="00114955">
        <w:rPr>
          <w:rFonts w:ascii="Times New Roman" w:hAnsi="Times New Roman" w:cs="Times New Roman"/>
          <w:b/>
          <w:color w:val="000000" w:themeColor="text1"/>
          <w:sz w:val="28"/>
          <w:szCs w:val="28"/>
        </w:rPr>
        <w:t xml:space="preserve"> (4.а) </w:t>
      </w:r>
      <w:r w:rsidR="00A11F22" w:rsidRPr="00115C82">
        <w:rPr>
          <w:rFonts w:ascii="Times New Roman" w:hAnsi="Times New Roman" w:cs="Times New Roman"/>
          <w:b/>
          <w:color w:val="000000" w:themeColor="text1"/>
          <w:sz w:val="28"/>
          <w:szCs w:val="28"/>
        </w:rPr>
        <w:t>та Аргентини</w:t>
      </w:r>
      <w:r w:rsidR="00114955">
        <w:rPr>
          <w:rFonts w:ascii="Times New Roman" w:hAnsi="Times New Roman" w:cs="Times New Roman"/>
          <w:b/>
          <w:color w:val="000000" w:themeColor="text1"/>
          <w:sz w:val="28"/>
          <w:szCs w:val="28"/>
        </w:rPr>
        <w:t xml:space="preserve"> (4.б) </w:t>
      </w:r>
      <w:r w:rsidR="00A11F22" w:rsidRPr="00115C82">
        <w:rPr>
          <w:rFonts w:ascii="Times New Roman" w:hAnsi="Times New Roman" w:cs="Times New Roman"/>
          <w:b/>
          <w:color w:val="000000" w:themeColor="text1"/>
          <w:sz w:val="28"/>
          <w:szCs w:val="28"/>
        </w:rPr>
        <w:t xml:space="preserve"> за період 2010-2017 рр. (у відсотках (%) до ВВП).</w:t>
      </w:r>
    </w:p>
    <w:p w:rsidR="00D96352" w:rsidRDefault="00D96352" w:rsidP="00D96352">
      <w:pPr>
        <w:spacing w:line="360" w:lineRule="auto"/>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Джерело: п</w:t>
      </w:r>
      <w:r w:rsidRPr="00115C82">
        <w:rPr>
          <w:rFonts w:ascii="Times New Roman" w:hAnsi="Times New Roman" w:cs="Times New Roman"/>
          <w:color w:val="000000" w:themeColor="text1"/>
          <w:sz w:val="28"/>
          <w:szCs w:val="28"/>
        </w:rPr>
        <w:t xml:space="preserve">обудовано </w:t>
      </w:r>
      <w:r>
        <w:rPr>
          <w:rFonts w:ascii="Times New Roman" w:hAnsi="Times New Roman" w:cs="Times New Roman"/>
          <w:color w:val="000000" w:themeColor="text1"/>
          <w:sz w:val="28"/>
          <w:szCs w:val="28"/>
        </w:rPr>
        <w:t>з</w:t>
      </w:r>
      <w:r w:rsidRPr="00115C82">
        <w:rPr>
          <w:rFonts w:ascii="Times New Roman" w:hAnsi="Times New Roman" w:cs="Times New Roman"/>
          <w:color w:val="000000" w:themeColor="text1"/>
          <w:sz w:val="28"/>
          <w:szCs w:val="28"/>
        </w:rPr>
        <w:t>а даними МВФ</w:t>
      </w:r>
      <w:r>
        <w:rPr>
          <w:rFonts w:ascii="Times New Roman" w:hAnsi="Times New Roman" w:cs="Times New Roman"/>
          <w:color w:val="000000" w:themeColor="text1"/>
          <w:sz w:val="28"/>
          <w:szCs w:val="28"/>
        </w:rPr>
        <w:t xml:space="preserve"> </w:t>
      </w:r>
      <w:r w:rsidRPr="007A384C">
        <w:rPr>
          <w:rFonts w:ascii="Times New Roman" w:hAnsi="Times New Roman" w:cs="Times New Roman"/>
          <w:noProof/>
          <w:color w:val="000000" w:themeColor="text1"/>
          <w:sz w:val="28"/>
          <w:szCs w:val="28"/>
        </w:rPr>
        <w:t>[10]</w:t>
      </w:r>
      <w:r>
        <w:rPr>
          <w:rFonts w:ascii="Times New Roman" w:hAnsi="Times New Roman" w:cs="Times New Roman"/>
          <w:noProof/>
          <w:color w:val="000000" w:themeColor="text1"/>
          <w:sz w:val="28"/>
          <w:szCs w:val="28"/>
        </w:rPr>
        <w:t>.</w:t>
      </w:r>
    </w:p>
    <w:p w:rsidR="00D96352" w:rsidRDefault="00D96352" w:rsidP="00D9635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Станом на початок 2018 р. для України загострюється питання обслуговування зовнішнього боргу, тривають гострі дискусії між науковцями та політиками про доцільність подальшого нарощування  зовнішнього боргу, у т.ч. перед МВФ; про ризики дефолту; про «ціну» отримання нових траншів від МВФ та їх очікувані соціально-економічні наслідки. </w:t>
      </w:r>
    </w:p>
    <w:p w:rsidR="00115C82" w:rsidRPr="00115C82" w:rsidRDefault="00707589" w:rsidP="00115C8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15C82" w:rsidRPr="00115C82">
        <w:rPr>
          <w:rFonts w:ascii="Times New Roman" w:hAnsi="Times New Roman" w:cs="Times New Roman"/>
          <w:color w:val="000000" w:themeColor="text1"/>
          <w:sz w:val="28"/>
          <w:szCs w:val="28"/>
        </w:rPr>
        <w:t>У табл</w:t>
      </w:r>
      <w:r w:rsidR="00D96352">
        <w:rPr>
          <w:rFonts w:ascii="Times New Roman" w:hAnsi="Times New Roman" w:cs="Times New Roman"/>
          <w:color w:val="000000" w:themeColor="text1"/>
          <w:sz w:val="28"/>
          <w:szCs w:val="28"/>
        </w:rPr>
        <w:t xml:space="preserve">иці </w:t>
      </w:r>
      <w:r w:rsidR="00115C82" w:rsidRPr="00115C82">
        <w:rPr>
          <w:rFonts w:ascii="Times New Roman" w:hAnsi="Times New Roman" w:cs="Times New Roman"/>
          <w:color w:val="000000" w:themeColor="text1"/>
          <w:sz w:val="28"/>
          <w:szCs w:val="28"/>
        </w:rPr>
        <w:t xml:space="preserve">1 представлено динаміку державного боргу </w:t>
      </w:r>
      <w:r w:rsidR="00D96352">
        <w:rPr>
          <w:rFonts w:ascii="Times New Roman" w:hAnsi="Times New Roman" w:cs="Times New Roman"/>
          <w:color w:val="000000" w:themeColor="text1"/>
          <w:sz w:val="28"/>
          <w:szCs w:val="28"/>
        </w:rPr>
        <w:t>України у</w:t>
      </w:r>
      <w:r w:rsidR="00115C82" w:rsidRPr="00115C82">
        <w:rPr>
          <w:rFonts w:ascii="Times New Roman" w:hAnsi="Times New Roman" w:cs="Times New Roman"/>
          <w:color w:val="000000" w:themeColor="text1"/>
          <w:sz w:val="28"/>
          <w:szCs w:val="28"/>
        </w:rPr>
        <w:t xml:space="preserve"> розрізі зовнішнього та внутрішнього боргу. Як свідчать дані табл</w:t>
      </w:r>
      <w:r w:rsidR="00D96352">
        <w:rPr>
          <w:rFonts w:ascii="Times New Roman" w:hAnsi="Times New Roman" w:cs="Times New Roman"/>
          <w:color w:val="000000" w:themeColor="text1"/>
          <w:sz w:val="28"/>
          <w:szCs w:val="28"/>
        </w:rPr>
        <w:t xml:space="preserve">иці </w:t>
      </w:r>
      <w:r w:rsidR="00115C82" w:rsidRPr="00115C82">
        <w:rPr>
          <w:rFonts w:ascii="Times New Roman" w:hAnsi="Times New Roman" w:cs="Times New Roman"/>
          <w:color w:val="000000" w:themeColor="text1"/>
          <w:sz w:val="28"/>
          <w:szCs w:val="28"/>
        </w:rPr>
        <w:t>1, за період 2011</w:t>
      </w:r>
      <w:r w:rsidR="00D96352">
        <w:rPr>
          <w:rFonts w:ascii="Times New Roman" w:hAnsi="Times New Roman" w:cs="Times New Roman"/>
          <w:color w:val="000000" w:themeColor="text1"/>
          <w:sz w:val="28"/>
          <w:szCs w:val="28"/>
        </w:rPr>
        <w:t xml:space="preserve"> – </w:t>
      </w:r>
      <w:r w:rsidR="00115C82" w:rsidRPr="00115C82">
        <w:rPr>
          <w:rFonts w:ascii="Times New Roman" w:hAnsi="Times New Roman" w:cs="Times New Roman"/>
          <w:color w:val="000000" w:themeColor="text1"/>
          <w:sz w:val="28"/>
          <w:szCs w:val="28"/>
        </w:rPr>
        <w:t xml:space="preserve">2017 рр. </w:t>
      </w:r>
      <w:proofErr w:type="spellStart"/>
      <w:r w:rsidR="00115C82" w:rsidRPr="00115C82">
        <w:rPr>
          <w:rFonts w:ascii="Times New Roman" w:hAnsi="Times New Roman" w:cs="Times New Roman"/>
          <w:color w:val="000000" w:themeColor="text1"/>
          <w:sz w:val="28"/>
          <w:szCs w:val="28"/>
        </w:rPr>
        <w:t>сукупний</w:t>
      </w:r>
      <w:proofErr w:type="spellEnd"/>
      <w:r w:rsidR="00115C82" w:rsidRPr="00115C82">
        <w:rPr>
          <w:rFonts w:ascii="Times New Roman" w:hAnsi="Times New Roman" w:cs="Times New Roman"/>
          <w:color w:val="000000" w:themeColor="text1"/>
          <w:sz w:val="28"/>
          <w:szCs w:val="28"/>
        </w:rPr>
        <w:t xml:space="preserve"> </w:t>
      </w:r>
      <w:proofErr w:type="spellStart"/>
      <w:r w:rsidR="00115C82" w:rsidRPr="00115C82">
        <w:rPr>
          <w:rFonts w:ascii="Times New Roman" w:hAnsi="Times New Roman" w:cs="Times New Roman"/>
          <w:color w:val="000000" w:themeColor="text1"/>
          <w:sz w:val="28"/>
          <w:szCs w:val="28"/>
        </w:rPr>
        <w:t>державний</w:t>
      </w:r>
      <w:proofErr w:type="spellEnd"/>
      <w:r w:rsidR="00115C82" w:rsidRPr="00115C82">
        <w:rPr>
          <w:rFonts w:ascii="Times New Roman" w:hAnsi="Times New Roman" w:cs="Times New Roman"/>
          <w:color w:val="000000" w:themeColor="text1"/>
          <w:sz w:val="28"/>
          <w:szCs w:val="28"/>
        </w:rPr>
        <w:t xml:space="preserve"> борг </w:t>
      </w:r>
      <w:r w:rsidR="00D96352">
        <w:rPr>
          <w:rFonts w:ascii="Times New Roman" w:hAnsi="Times New Roman" w:cs="Times New Roman"/>
          <w:color w:val="000000" w:themeColor="text1"/>
          <w:sz w:val="28"/>
          <w:szCs w:val="28"/>
        </w:rPr>
        <w:t xml:space="preserve">України </w:t>
      </w:r>
      <w:r w:rsidR="00115C82" w:rsidRPr="00115C82">
        <w:rPr>
          <w:rFonts w:ascii="Times New Roman" w:hAnsi="Times New Roman" w:cs="Times New Roman"/>
          <w:color w:val="000000" w:themeColor="text1"/>
          <w:sz w:val="28"/>
          <w:szCs w:val="28"/>
        </w:rPr>
        <w:t xml:space="preserve">зріс на 1462, 64 </w:t>
      </w:r>
      <w:proofErr w:type="spellStart"/>
      <w:r w:rsidR="00115C82" w:rsidRPr="00115C82">
        <w:rPr>
          <w:rFonts w:ascii="Times New Roman" w:hAnsi="Times New Roman" w:cs="Times New Roman"/>
          <w:color w:val="000000" w:themeColor="text1"/>
          <w:sz w:val="28"/>
          <w:szCs w:val="28"/>
        </w:rPr>
        <w:t>млрд</w:t>
      </w:r>
      <w:proofErr w:type="spellEnd"/>
      <w:r w:rsidR="00115C82" w:rsidRPr="00115C82">
        <w:rPr>
          <w:rFonts w:ascii="Times New Roman" w:hAnsi="Times New Roman" w:cs="Times New Roman"/>
          <w:color w:val="000000" w:themeColor="text1"/>
          <w:sz w:val="28"/>
          <w:szCs w:val="28"/>
        </w:rPr>
        <w:t xml:space="preserve"> </w:t>
      </w:r>
      <w:proofErr w:type="spellStart"/>
      <w:r w:rsidR="00115C82" w:rsidRPr="00115C82">
        <w:rPr>
          <w:rFonts w:ascii="Times New Roman" w:hAnsi="Times New Roman" w:cs="Times New Roman"/>
          <w:color w:val="000000" w:themeColor="text1"/>
          <w:sz w:val="28"/>
          <w:szCs w:val="28"/>
        </w:rPr>
        <w:t>грн</w:t>
      </w:r>
      <w:proofErr w:type="spellEnd"/>
      <w:r w:rsidR="00115C82" w:rsidRPr="00115C82">
        <w:rPr>
          <w:rFonts w:ascii="Times New Roman" w:hAnsi="Times New Roman" w:cs="Times New Roman"/>
          <w:color w:val="000000" w:themeColor="text1"/>
          <w:sz w:val="28"/>
          <w:szCs w:val="28"/>
        </w:rPr>
        <w:t xml:space="preserve"> (307,87 %), </w:t>
      </w:r>
      <w:r w:rsidR="00D96352">
        <w:rPr>
          <w:rFonts w:ascii="Times New Roman" w:hAnsi="Times New Roman" w:cs="Times New Roman"/>
          <w:color w:val="000000" w:themeColor="text1"/>
          <w:sz w:val="28"/>
          <w:szCs w:val="28"/>
        </w:rPr>
        <w:t>у</w:t>
      </w:r>
      <w:r w:rsidR="00115C82" w:rsidRPr="00115C82">
        <w:rPr>
          <w:rFonts w:ascii="Times New Roman" w:hAnsi="Times New Roman" w:cs="Times New Roman"/>
          <w:color w:val="000000" w:themeColor="text1"/>
          <w:sz w:val="28"/>
          <w:szCs w:val="28"/>
        </w:rPr>
        <w:t xml:space="preserve"> тому числі </w:t>
      </w:r>
      <w:proofErr w:type="spellStart"/>
      <w:r w:rsidR="00115C82" w:rsidRPr="00115C82">
        <w:rPr>
          <w:rFonts w:ascii="Times New Roman" w:hAnsi="Times New Roman" w:cs="Times New Roman"/>
          <w:color w:val="000000" w:themeColor="text1"/>
          <w:sz w:val="28"/>
          <w:szCs w:val="28"/>
        </w:rPr>
        <w:t>зовнішній</w:t>
      </w:r>
      <w:proofErr w:type="spellEnd"/>
      <w:r w:rsidR="00115C82" w:rsidRPr="00115C82">
        <w:rPr>
          <w:rFonts w:ascii="Times New Roman" w:hAnsi="Times New Roman" w:cs="Times New Roman"/>
          <w:color w:val="000000" w:themeColor="text1"/>
          <w:sz w:val="28"/>
          <w:szCs w:val="28"/>
        </w:rPr>
        <w:t xml:space="preserve"> борг – на 940,615 </w:t>
      </w:r>
      <w:proofErr w:type="spellStart"/>
      <w:r w:rsidR="00115C82" w:rsidRPr="00115C82">
        <w:rPr>
          <w:rFonts w:ascii="Times New Roman" w:hAnsi="Times New Roman" w:cs="Times New Roman"/>
          <w:color w:val="000000" w:themeColor="text1"/>
          <w:sz w:val="28"/>
          <w:szCs w:val="28"/>
        </w:rPr>
        <w:t>млрд</w:t>
      </w:r>
      <w:proofErr w:type="spellEnd"/>
      <w:r w:rsidR="00115C82" w:rsidRPr="00115C82">
        <w:rPr>
          <w:rFonts w:ascii="Times New Roman" w:hAnsi="Times New Roman" w:cs="Times New Roman"/>
          <w:color w:val="000000" w:themeColor="text1"/>
          <w:sz w:val="28"/>
          <w:szCs w:val="28"/>
        </w:rPr>
        <w:t xml:space="preserve"> грн. (314,15 %), </w:t>
      </w:r>
      <w:proofErr w:type="spellStart"/>
      <w:r w:rsidR="00115C82" w:rsidRPr="00115C82">
        <w:rPr>
          <w:rFonts w:ascii="Times New Roman" w:hAnsi="Times New Roman" w:cs="Times New Roman"/>
          <w:color w:val="000000" w:themeColor="text1"/>
          <w:sz w:val="28"/>
          <w:szCs w:val="28"/>
        </w:rPr>
        <w:t>внутрішній</w:t>
      </w:r>
      <w:proofErr w:type="spellEnd"/>
      <w:r w:rsidR="00115C82" w:rsidRPr="00115C82">
        <w:rPr>
          <w:rFonts w:ascii="Times New Roman" w:hAnsi="Times New Roman" w:cs="Times New Roman"/>
          <w:color w:val="000000" w:themeColor="text1"/>
          <w:sz w:val="28"/>
          <w:szCs w:val="28"/>
        </w:rPr>
        <w:t xml:space="preserve"> – на 516,022 </w:t>
      </w:r>
      <w:proofErr w:type="spellStart"/>
      <w:r w:rsidR="00115C82" w:rsidRPr="00115C82">
        <w:rPr>
          <w:rFonts w:ascii="Times New Roman" w:hAnsi="Times New Roman" w:cs="Times New Roman"/>
          <w:color w:val="000000" w:themeColor="text1"/>
          <w:sz w:val="28"/>
          <w:szCs w:val="28"/>
        </w:rPr>
        <w:t>млрд</w:t>
      </w:r>
      <w:proofErr w:type="spellEnd"/>
      <w:r w:rsidR="00115C82" w:rsidRPr="00115C82">
        <w:rPr>
          <w:rFonts w:ascii="Times New Roman" w:hAnsi="Times New Roman" w:cs="Times New Roman"/>
          <w:color w:val="000000" w:themeColor="text1"/>
          <w:sz w:val="28"/>
          <w:szCs w:val="28"/>
        </w:rPr>
        <w:t xml:space="preserve"> </w:t>
      </w:r>
      <w:proofErr w:type="spellStart"/>
      <w:r w:rsidR="00115C82" w:rsidRPr="00115C82">
        <w:rPr>
          <w:rFonts w:ascii="Times New Roman" w:hAnsi="Times New Roman" w:cs="Times New Roman"/>
          <w:color w:val="000000" w:themeColor="text1"/>
          <w:sz w:val="28"/>
          <w:szCs w:val="28"/>
        </w:rPr>
        <w:t>грн</w:t>
      </w:r>
      <w:proofErr w:type="spellEnd"/>
      <w:r w:rsidR="00115C82" w:rsidRPr="00115C82">
        <w:rPr>
          <w:rFonts w:ascii="Times New Roman" w:hAnsi="Times New Roman" w:cs="Times New Roman"/>
          <w:color w:val="000000" w:themeColor="text1"/>
          <w:sz w:val="28"/>
          <w:szCs w:val="28"/>
        </w:rPr>
        <w:t xml:space="preserve"> (297,06 %). Така динаміка пояснюється різким зростанням зовнішніх запозичень</w:t>
      </w:r>
      <w:r w:rsidR="00D96352">
        <w:rPr>
          <w:rFonts w:ascii="Times New Roman" w:hAnsi="Times New Roman" w:cs="Times New Roman"/>
          <w:color w:val="000000" w:themeColor="text1"/>
          <w:sz w:val="28"/>
          <w:szCs w:val="28"/>
        </w:rPr>
        <w:t xml:space="preserve"> України</w:t>
      </w:r>
      <w:r w:rsidR="00115C82" w:rsidRPr="00115C82">
        <w:rPr>
          <w:rFonts w:ascii="Times New Roman" w:hAnsi="Times New Roman" w:cs="Times New Roman"/>
          <w:color w:val="000000" w:themeColor="text1"/>
          <w:sz w:val="28"/>
          <w:szCs w:val="28"/>
        </w:rPr>
        <w:t xml:space="preserve">, починаючи з 2014 р. У структурі державного </w:t>
      </w:r>
      <w:r w:rsidR="00115C82" w:rsidRPr="00115C82">
        <w:rPr>
          <w:rFonts w:ascii="Times New Roman" w:hAnsi="Times New Roman" w:cs="Times New Roman"/>
          <w:color w:val="000000" w:themeColor="text1"/>
          <w:sz w:val="28"/>
          <w:szCs w:val="28"/>
        </w:rPr>
        <w:lastRenderedPageBreak/>
        <w:t xml:space="preserve">боргу стабільно переважає </w:t>
      </w:r>
      <w:proofErr w:type="spellStart"/>
      <w:r w:rsidR="00115C82" w:rsidRPr="00115C82">
        <w:rPr>
          <w:rFonts w:ascii="Times New Roman" w:hAnsi="Times New Roman" w:cs="Times New Roman"/>
          <w:color w:val="000000" w:themeColor="text1"/>
          <w:sz w:val="28"/>
          <w:szCs w:val="28"/>
        </w:rPr>
        <w:t>зовнішній</w:t>
      </w:r>
      <w:proofErr w:type="spellEnd"/>
      <w:r w:rsidR="00115C82" w:rsidRPr="00115C82">
        <w:rPr>
          <w:rFonts w:ascii="Times New Roman" w:hAnsi="Times New Roman" w:cs="Times New Roman"/>
          <w:color w:val="000000" w:themeColor="text1"/>
          <w:sz w:val="28"/>
          <w:szCs w:val="28"/>
        </w:rPr>
        <w:t xml:space="preserve"> борг, </w:t>
      </w:r>
      <w:proofErr w:type="spellStart"/>
      <w:r w:rsidR="00115C82" w:rsidRPr="00115C82">
        <w:rPr>
          <w:rFonts w:ascii="Times New Roman" w:hAnsi="Times New Roman" w:cs="Times New Roman"/>
          <w:color w:val="000000" w:themeColor="text1"/>
          <w:sz w:val="28"/>
          <w:szCs w:val="28"/>
        </w:rPr>
        <w:t>його</w:t>
      </w:r>
      <w:proofErr w:type="spellEnd"/>
      <w:r w:rsidR="00115C82" w:rsidRPr="00115C82">
        <w:rPr>
          <w:rFonts w:ascii="Times New Roman" w:hAnsi="Times New Roman" w:cs="Times New Roman"/>
          <w:color w:val="000000" w:themeColor="text1"/>
          <w:sz w:val="28"/>
          <w:szCs w:val="28"/>
        </w:rPr>
        <w:t xml:space="preserve"> частка коливається від 38 % до 52,56 % </w:t>
      </w:r>
      <w:r w:rsidR="003278D6" w:rsidRPr="00B451E1">
        <w:rPr>
          <w:rFonts w:ascii="Times New Roman" w:hAnsi="Times New Roman" w:cs="Times New Roman"/>
          <w:noProof/>
          <w:color w:val="000000" w:themeColor="text1"/>
          <w:sz w:val="28"/>
          <w:szCs w:val="28"/>
        </w:rPr>
        <w:t>[6</w:t>
      </w:r>
      <w:r w:rsidR="00B451E1" w:rsidRPr="00B451E1">
        <w:rPr>
          <w:rFonts w:ascii="Times New Roman" w:hAnsi="Times New Roman" w:cs="Times New Roman"/>
          <w:noProof/>
          <w:color w:val="000000" w:themeColor="text1"/>
          <w:sz w:val="28"/>
          <w:szCs w:val="28"/>
        </w:rPr>
        <w:t xml:space="preserve"> c. 64</w:t>
      </w:r>
      <w:r w:rsidR="00115C82" w:rsidRPr="00B451E1">
        <w:rPr>
          <w:rFonts w:ascii="Times New Roman" w:hAnsi="Times New Roman" w:cs="Times New Roman"/>
          <w:noProof/>
          <w:color w:val="000000" w:themeColor="text1"/>
          <w:sz w:val="28"/>
          <w:szCs w:val="28"/>
        </w:rPr>
        <w:t>].</w:t>
      </w:r>
    </w:p>
    <w:p w:rsidR="00707589" w:rsidRDefault="00707589" w:rsidP="00115C82">
      <w:pPr>
        <w:widowControl w:val="0"/>
        <w:autoSpaceDE w:val="0"/>
        <w:autoSpaceDN w:val="0"/>
        <w:adjustRightInd w:val="0"/>
        <w:spacing w:after="240" w:line="300" w:lineRule="atLeast"/>
        <w:jc w:val="right"/>
        <w:rPr>
          <w:rFonts w:ascii="Times New Roman" w:hAnsi="Times New Roman" w:cs="Times New Roman"/>
          <w:b/>
          <w:color w:val="000000" w:themeColor="text1"/>
          <w:sz w:val="28"/>
          <w:szCs w:val="28"/>
        </w:rPr>
      </w:pPr>
    </w:p>
    <w:p w:rsidR="00707589" w:rsidRDefault="00707589" w:rsidP="00115C82">
      <w:pPr>
        <w:widowControl w:val="0"/>
        <w:autoSpaceDE w:val="0"/>
        <w:autoSpaceDN w:val="0"/>
        <w:adjustRightInd w:val="0"/>
        <w:spacing w:after="240" w:line="300" w:lineRule="atLeast"/>
        <w:jc w:val="right"/>
        <w:rPr>
          <w:rFonts w:ascii="Times New Roman" w:hAnsi="Times New Roman" w:cs="Times New Roman"/>
          <w:b/>
          <w:color w:val="000000" w:themeColor="text1"/>
          <w:sz w:val="28"/>
          <w:szCs w:val="28"/>
        </w:rPr>
      </w:pPr>
    </w:p>
    <w:p w:rsidR="00115C82" w:rsidRPr="00115C82" w:rsidRDefault="00115C82" w:rsidP="00115C82">
      <w:pPr>
        <w:widowControl w:val="0"/>
        <w:autoSpaceDE w:val="0"/>
        <w:autoSpaceDN w:val="0"/>
        <w:adjustRightInd w:val="0"/>
        <w:spacing w:after="240" w:line="300" w:lineRule="atLeast"/>
        <w:jc w:val="right"/>
        <w:rPr>
          <w:rFonts w:ascii="Times New Roman" w:hAnsi="Times New Roman" w:cs="Times New Roman"/>
          <w:b/>
          <w:color w:val="000000" w:themeColor="text1"/>
          <w:sz w:val="28"/>
          <w:szCs w:val="28"/>
        </w:rPr>
      </w:pPr>
      <w:r w:rsidRPr="00115C82">
        <w:rPr>
          <w:rFonts w:ascii="Times New Roman" w:hAnsi="Times New Roman" w:cs="Times New Roman"/>
          <w:b/>
          <w:color w:val="000000" w:themeColor="text1"/>
          <w:sz w:val="28"/>
          <w:szCs w:val="28"/>
        </w:rPr>
        <w:t xml:space="preserve">Таблиця 1 </w:t>
      </w:r>
    </w:p>
    <w:p w:rsidR="00115C82" w:rsidRDefault="00115C82" w:rsidP="007D3BB8">
      <w:pPr>
        <w:widowControl w:val="0"/>
        <w:autoSpaceDE w:val="0"/>
        <w:autoSpaceDN w:val="0"/>
        <w:adjustRightInd w:val="0"/>
        <w:jc w:val="center"/>
        <w:rPr>
          <w:rFonts w:ascii="Times New Roman" w:hAnsi="Times New Roman" w:cs="Times New Roman"/>
          <w:b/>
          <w:color w:val="000000" w:themeColor="text1"/>
          <w:sz w:val="28"/>
          <w:szCs w:val="28"/>
        </w:rPr>
      </w:pPr>
      <w:proofErr w:type="spellStart"/>
      <w:r w:rsidRPr="007D3BB8">
        <w:rPr>
          <w:rFonts w:ascii="Times New Roman" w:hAnsi="Times New Roman" w:cs="Times New Roman"/>
          <w:b/>
          <w:color w:val="000000" w:themeColor="text1"/>
          <w:sz w:val="28"/>
          <w:szCs w:val="28"/>
        </w:rPr>
        <w:t>Державний</w:t>
      </w:r>
      <w:proofErr w:type="spellEnd"/>
      <w:r w:rsidRPr="007D3BB8">
        <w:rPr>
          <w:rFonts w:ascii="Times New Roman" w:hAnsi="Times New Roman" w:cs="Times New Roman"/>
          <w:b/>
          <w:color w:val="000000" w:themeColor="text1"/>
          <w:sz w:val="28"/>
          <w:szCs w:val="28"/>
        </w:rPr>
        <w:t xml:space="preserve"> та </w:t>
      </w:r>
      <w:proofErr w:type="spellStart"/>
      <w:r w:rsidRPr="007D3BB8">
        <w:rPr>
          <w:rFonts w:ascii="Times New Roman" w:hAnsi="Times New Roman" w:cs="Times New Roman"/>
          <w:b/>
          <w:color w:val="000000" w:themeColor="text1"/>
          <w:sz w:val="28"/>
          <w:szCs w:val="28"/>
        </w:rPr>
        <w:t>гарантований</w:t>
      </w:r>
      <w:proofErr w:type="spellEnd"/>
      <w:r w:rsidRPr="007D3BB8">
        <w:rPr>
          <w:rFonts w:ascii="Times New Roman" w:hAnsi="Times New Roman" w:cs="Times New Roman"/>
          <w:b/>
          <w:color w:val="000000" w:themeColor="text1"/>
          <w:sz w:val="28"/>
          <w:szCs w:val="28"/>
        </w:rPr>
        <w:t xml:space="preserve"> державою борг </w:t>
      </w:r>
      <w:proofErr w:type="spellStart"/>
      <w:r w:rsidRPr="007D3BB8">
        <w:rPr>
          <w:rFonts w:ascii="Times New Roman" w:hAnsi="Times New Roman" w:cs="Times New Roman"/>
          <w:b/>
          <w:color w:val="000000" w:themeColor="text1"/>
          <w:sz w:val="28"/>
          <w:szCs w:val="28"/>
        </w:rPr>
        <w:t>України</w:t>
      </w:r>
      <w:proofErr w:type="spellEnd"/>
      <w:r w:rsidR="007D3BB8">
        <w:rPr>
          <w:rFonts w:ascii="Times New Roman" w:hAnsi="Times New Roman" w:cs="Times New Roman"/>
          <w:b/>
          <w:color w:val="000000" w:themeColor="text1"/>
          <w:sz w:val="28"/>
          <w:szCs w:val="28"/>
        </w:rPr>
        <w:t xml:space="preserve"> </w:t>
      </w:r>
      <w:r w:rsidR="007D3BB8" w:rsidRPr="007D3BB8">
        <w:rPr>
          <w:rFonts w:ascii="Times New Roman" w:hAnsi="Times New Roman" w:cs="Times New Roman"/>
          <w:color w:val="000000" w:themeColor="text1"/>
          <w:sz w:val="28"/>
          <w:szCs w:val="28"/>
        </w:rPr>
        <w:t xml:space="preserve">(у млрд. </w:t>
      </w:r>
      <w:proofErr w:type="spellStart"/>
      <w:r w:rsidR="007D3BB8" w:rsidRPr="007D3BB8">
        <w:rPr>
          <w:rFonts w:ascii="Times New Roman" w:hAnsi="Times New Roman" w:cs="Times New Roman"/>
          <w:color w:val="000000" w:themeColor="text1"/>
          <w:sz w:val="28"/>
          <w:szCs w:val="28"/>
        </w:rPr>
        <w:t>дол</w:t>
      </w:r>
      <w:proofErr w:type="spellEnd"/>
      <w:r w:rsidR="007D3BB8" w:rsidRPr="007D3BB8">
        <w:rPr>
          <w:rFonts w:ascii="Times New Roman" w:hAnsi="Times New Roman" w:cs="Times New Roman"/>
          <w:color w:val="000000" w:themeColor="text1"/>
          <w:sz w:val="28"/>
          <w:szCs w:val="28"/>
        </w:rPr>
        <w:t xml:space="preserve"> США)</w:t>
      </w:r>
    </w:p>
    <w:p w:rsidR="007D3BB8" w:rsidRPr="007D3BB8" w:rsidRDefault="007D3BB8" w:rsidP="007D3BB8">
      <w:pPr>
        <w:widowControl w:val="0"/>
        <w:autoSpaceDE w:val="0"/>
        <w:autoSpaceDN w:val="0"/>
        <w:adjustRightInd w:val="0"/>
        <w:jc w:val="center"/>
        <w:rPr>
          <w:rFonts w:ascii="Times New Roman" w:hAnsi="Times New Roman" w:cs="Times New Roman"/>
          <w:b/>
          <w:color w:val="000000" w:themeColor="text1"/>
          <w:sz w:val="28"/>
          <w:szCs w:val="28"/>
        </w:rPr>
      </w:pPr>
    </w:p>
    <w:tbl>
      <w:tblPr>
        <w:tblStyle w:val="a8"/>
        <w:tblW w:w="0" w:type="auto"/>
        <w:tblLayout w:type="fixed"/>
        <w:tblLook w:val="04A0" w:firstRow="1" w:lastRow="0" w:firstColumn="1" w:lastColumn="0" w:noHBand="0" w:noVBand="1"/>
      </w:tblPr>
      <w:tblGrid>
        <w:gridCol w:w="2093"/>
        <w:gridCol w:w="1417"/>
        <w:gridCol w:w="1230"/>
        <w:gridCol w:w="965"/>
        <w:gridCol w:w="965"/>
        <w:gridCol w:w="965"/>
        <w:gridCol w:w="965"/>
        <w:gridCol w:w="965"/>
      </w:tblGrid>
      <w:tr w:rsidR="00115C82" w:rsidRPr="007D3BB8" w:rsidTr="00CD01AA">
        <w:trPr>
          <w:trHeight w:val="179"/>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 </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2011</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2012</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2013</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2014</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color w:val="000000" w:themeColor="text1"/>
                <w:sz w:val="28"/>
                <w:szCs w:val="28"/>
              </w:rPr>
            </w:pPr>
            <w:r w:rsidRPr="007D3BB8">
              <w:rPr>
                <w:rFonts w:ascii="Times New Roman" w:hAnsi="Times New Roman" w:cs="Times New Roman"/>
                <w:b/>
                <w:bCs/>
                <w:color w:val="000000" w:themeColor="text1"/>
                <w:sz w:val="28"/>
                <w:szCs w:val="28"/>
              </w:rPr>
              <w:t>2017</w:t>
            </w:r>
          </w:p>
        </w:tc>
      </w:tr>
      <w:tr w:rsidR="00115C82" w:rsidRPr="007D3BB8" w:rsidTr="00CD01AA">
        <w:trPr>
          <w:trHeight w:val="495"/>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Загальна сума боргу</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59,22</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64,50</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73,16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69,81</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65,51</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70,97</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
                <w:bCs/>
                <w:iCs/>
                <w:color w:val="000000" w:themeColor="text1"/>
                <w:sz w:val="28"/>
                <w:szCs w:val="28"/>
              </w:rPr>
            </w:pPr>
            <w:r w:rsidRPr="007D3BB8">
              <w:rPr>
                <w:rFonts w:ascii="Times New Roman" w:hAnsi="Times New Roman" w:cs="Times New Roman"/>
                <w:b/>
                <w:bCs/>
                <w:iCs/>
                <w:color w:val="000000" w:themeColor="text1"/>
                <w:sz w:val="28"/>
                <w:szCs w:val="28"/>
              </w:rPr>
              <w:t>76,33</w:t>
            </w:r>
          </w:p>
        </w:tc>
      </w:tr>
      <w:tr w:rsidR="00115C82" w:rsidRPr="007D3BB8" w:rsidTr="00CD01AA">
        <w:trPr>
          <w:trHeight w:val="280"/>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i/>
                <w:color w:val="000000" w:themeColor="text1"/>
                <w:sz w:val="28"/>
                <w:szCs w:val="28"/>
              </w:rPr>
            </w:pPr>
            <w:r w:rsidRPr="007D3BB8">
              <w:rPr>
                <w:rFonts w:ascii="Times New Roman" w:hAnsi="Times New Roman" w:cs="Times New Roman"/>
                <w:bCs/>
                <w:i/>
                <w:color w:val="000000" w:themeColor="text1"/>
                <w:sz w:val="28"/>
                <w:szCs w:val="28"/>
              </w:rPr>
              <w:t>Державний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44,72</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49,95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60,08</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60,06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55,59</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60,71</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65,01</w:t>
            </w:r>
          </w:p>
        </w:tc>
      </w:tr>
      <w:tr w:rsidR="00115C82" w:rsidRPr="007D3BB8" w:rsidTr="00CD01AA">
        <w:trPr>
          <w:trHeight w:val="280"/>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Внутрішній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20,21</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23,81</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32,15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29,24</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21,17</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24,66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26,53</w:t>
            </w:r>
          </w:p>
        </w:tc>
      </w:tr>
      <w:tr w:rsidR="00115C82" w:rsidRPr="007D3BB8" w:rsidTr="00CD01AA">
        <w:trPr>
          <w:trHeight w:val="280"/>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Зовнішній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24,51</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26,14</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27,93</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30,82</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34,43</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36,05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38,48</w:t>
            </w:r>
          </w:p>
        </w:tc>
      </w:tr>
      <w:tr w:rsidR="00115C82" w:rsidRPr="007D3BB8" w:rsidTr="00CD01AA">
        <w:trPr>
          <w:trHeight w:val="675"/>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i/>
                <w:color w:val="000000" w:themeColor="text1"/>
                <w:sz w:val="28"/>
                <w:szCs w:val="28"/>
              </w:rPr>
            </w:pPr>
            <w:r w:rsidRPr="007D3BB8">
              <w:rPr>
                <w:rFonts w:ascii="Times New Roman" w:hAnsi="Times New Roman" w:cs="Times New Roman"/>
                <w:bCs/>
                <w:i/>
                <w:color w:val="000000" w:themeColor="text1"/>
                <w:sz w:val="28"/>
                <w:szCs w:val="28"/>
              </w:rPr>
              <w:t>Гарантований державою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14,51</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14,55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13,08</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9,75</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9,91</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10,26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color w:val="000000" w:themeColor="text1"/>
                <w:sz w:val="28"/>
                <w:szCs w:val="28"/>
              </w:rPr>
            </w:pPr>
            <w:r w:rsidRPr="007D3BB8">
              <w:rPr>
                <w:rFonts w:ascii="Times New Roman" w:hAnsi="Times New Roman" w:cs="Times New Roman"/>
                <w:color w:val="000000" w:themeColor="text1"/>
                <w:sz w:val="28"/>
                <w:szCs w:val="28"/>
              </w:rPr>
              <w:t>11,32</w:t>
            </w:r>
          </w:p>
        </w:tc>
      </w:tr>
      <w:tr w:rsidR="00115C82" w:rsidRPr="007D3BB8" w:rsidTr="00CD01AA">
        <w:trPr>
          <w:trHeight w:val="280"/>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Внутрішній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1,54</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2,03</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3,39</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1,77</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0,89</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0,70</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color w:val="000000" w:themeColor="text1"/>
                <w:sz w:val="28"/>
                <w:szCs w:val="28"/>
              </w:rPr>
            </w:pPr>
            <w:r w:rsidRPr="007D3BB8">
              <w:rPr>
                <w:rFonts w:ascii="Times New Roman" w:hAnsi="Times New Roman" w:cs="Times New Roman"/>
                <w:color w:val="000000" w:themeColor="text1"/>
                <w:sz w:val="28"/>
                <w:szCs w:val="28"/>
              </w:rPr>
              <w:t>0,75</w:t>
            </w:r>
          </w:p>
        </w:tc>
      </w:tr>
      <w:tr w:rsidR="00115C82" w:rsidRPr="007D3BB8" w:rsidTr="00CD01AA">
        <w:trPr>
          <w:trHeight w:val="280"/>
        </w:trPr>
        <w:tc>
          <w:tcPr>
            <w:tcW w:w="2093" w:type="dxa"/>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Зовнішній борг</w:t>
            </w:r>
          </w:p>
        </w:tc>
        <w:tc>
          <w:tcPr>
            <w:tcW w:w="1417"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12,97</w:t>
            </w:r>
          </w:p>
        </w:tc>
        <w:tc>
          <w:tcPr>
            <w:tcW w:w="1230"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12,52</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9,69</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7,99</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9,02</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9,56</w:t>
            </w:r>
          </w:p>
        </w:tc>
        <w:tc>
          <w:tcPr>
            <w:tcW w:w="965" w:type="dxa"/>
            <w:noWrap/>
            <w:hideMark/>
          </w:tcPr>
          <w:p w:rsidR="00115C82" w:rsidRPr="007D3BB8" w:rsidRDefault="00115C82" w:rsidP="007D3BB8">
            <w:pPr>
              <w:widowControl w:val="0"/>
              <w:autoSpaceDE w:val="0"/>
              <w:autoSpaceDN w:val="0"/>
              <w:adjustRightInd w:val="0"/>
              <w:rPr>
                <w:rFonts w:ascii="Times New Roman" w:hAnsi="Times New Roman" w:cs="Times New Roman"/>
                <w:bCs/>
                <w:color w:val="000000" w:themeColor="text1"/>
                <w:sz w:val="28"/>
                <w:szCs w:val="28"/>
              </w:rPr>
            </w:pPr>
            <w:r w:rsidRPr="007D3BB8">
              <w:rPr>
                <w:rFonts w:ascii="Times New Roman" w:hAnsi="Times New Roman" w:cs="Times New Roman"/>
                <w:bCs/>
                <w:color w:val="000000" w:themeColor="text1"/>
                <w:sz w:val="28"/>
                <w:szCs w:val="28"/>
              </w:rPr>
              <w:t>10,58</w:t>
            </w:r>
          </w:p>
        </w:tc>
      </w:tr>
    </w:tbl>
    <w:p w:rsidR="007D3BB8" w:rsidRDefault="007D3BB8" w:rsidP="007D3BB8">
      <w:pPr>
        <w:spacing w:line="360" w:lineRule="auto"/>
        <w:jc w:val="both"/>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Джерело: з</w:t>
      </w:r>
      <w:r w:rsidRPr="00115C82">
        <w:rPr>
          <w:rFonts w:ascii="Times New Roman" w:hAnsi="Times New Roman" w:cs="Times New Roman"/>
          <w:color w:val="000000" w:themeColor="text1"/>
          <w:sz w:val="28"/>
          <w:szCs w:val="28"/>
        </w:rPr>
        <w:t>а даними МВФ</w:t>
      </w:r>
      <w:r>
        <w:rPr>
          <w:rFonts w:ascii="Times New Roman" w:hAnsi="Times New Roman" w:cs="Times New Roman"/>
          <w:color w:val="000000" w:themeColor="text1"/>
          <w:sz w:val="28"/>
          <w:szCs w:val="28"/>
        </w:rPr>
        <w:t xml:space="preserve"> </w:t>
      </w:r>
      <w:r w:rsidRPr="007A384C">
        <w:rPr>
          <w:rFonts w:ascii="Times New Roman" w:hAnsi="Times New Roman" w:cs="Times New Roman"/>
          <w:noProof/>
          <w:color w:val="000000" w:themeColor="text1"/>
          <w:sz w:val="28"/>
          <w:szCs w:val="28"/>
        </w:rPr>
        <w:t>[10]</w:t>
      </w:r>
      <w:r>
        <w:rPr>
          <w:rFonts w:ascii="Times New Roman" w:hAnsi="Times New Roman" w:cs="Times New Roman"/>
          <w:noProof/>
          <w:color w:val="000000" w:themeColor="text1"/>
          <w:sz w:val="28"/>
          <w:szCs w:val="28"/>
        </w:rPr>
        <w:t>.</w:t>
      </w:r>
    </w:p>
    <w:p w:rsidR="007D3BB8" w:rsidRDefault="00115C82" w:rsidP="00615284">
      <w:pPr>
        <w:spacing w:line="360" w:lineRule="auto"/>
        <w:ind w:firstLine="284"/>
        <w:jc w:val="both"/>
        <w:rPr>
          <w:rFonts w:ascii="Times New Roman" w:hAnsi="Times New Roman" w:cs="Times New Roman"/>
          <w:noProof/>
          <w:color w:val="000000" w:themeColor="text1"/>
          <w:sz w:val="28"/>
          <w:szCs w:val="28"/>
        </w:rPr>
      </w:pPr>
      <w:r w:rsidRPr="00115C82">
        <w:rPr>
          <w:rFonts w:ascii="Times New Roman" w:hAnsi="Times New Roman" w:cs="Times New Roman"/>
          <w:color w:val="000000" w:themeColor="text1"/>
          <w:sz w:val="28"/>
          <w:szCs w:val="28"/>
        </w:rPr>
        <w:t xml:space="preserve">У 2017 р. обсяг платежів з погашення державного боргу </w:t>
      </w:r>
      <w:r w:rsidR="007D3BB8">
        <w:rPr>
          <w:rFonts w:ascii="Times New Roman" w:hAnsi="Times New Roman" w:cs="Times New Roman"/>
          <w:color w:val="000000" w:themeColor="text1"/>
          <w:sz w:val="28"/>
          <w:szCs w:val="28"/>
        </w:rPr>
        <w:t xml:space="preserve">України </w:t>
      </w:r>
      <w:r w:rsidRPr="00115C82">
        <w:rPr>
          <w:rFonts w:ascii="Times New Roman" w:hAnsi="Times New Roman" w:cs="Times New Roman"/>
          <w:color w:val="000000" w:themeColor="text1"/>
          <w:sz w:val="28"/>
          <w:szCs w:val="28"/>
        </w:rPr>
        <w:t>становив 129559,0 млн. грн., з яких 98621,0 млн. грн., або 76,1 %, станов</w:t>
      </w:r>
      <w:r w:rsidR="007D3BB8">
        <w:rPr>
          <w:rFonts w:ascii="Times New Roman" w:hAnsi="Times New Roman" w:cs="Times New Roman"/>
          <w:color w:val="000000" w:themeColor="text1"/>
          <w:sz w:val="28"/>
          <w:szCs w:val="28"/>
        </w:rPr>
        <w:t xml:space="preserve">или </w:t>
      </w:r>
      <w:r w:rsidRPr="00115C82">
        <w:rPr>
          <w:rFonts w:ascii="Times New Roman" w:hAnsi="Times New Roman" w:cs="Times New Roman"/>
          <w:color w:val="000000" w:themeColor="text1"/>
          <w:sz w:val="28"/>
          <w:szCs w:val="28"/>
        </w:rPr>
        <w:t xml:space="preserve"> зобов'язання за внутрішнім боргом, а 30938,0 млн. грн., або 23,9 %, – за зовнішнім боргом</w:t>
      </w:r>
      <w:r w:rsidR="007D3BB8">
        <w:rPr>
          <w:rFonts w:ascii="Times New Roman" w:hAnsi="Times New Roman" w:cs="Times New Roman"/>
          <w:color w:val="000000" w:themeColor="text1"/>
          <w:sz w:val="28"/>
          <w:szCs w:val="28"/>
        </w:rPr>
        <w:t>. У складі</w:t>
      </w:r>
      <w:r w:rsidR="007D3BB8" w:rsidRPr="007D3BB8">
        <w:rPr>
          <w:rFonts w:ascii="Times New Roman" w:hAnsi="Times New Roman" w:cs="Times New Roman"/>
          <w:color w:val="000000" w:themeColor="text1"/>
          <w:sz w:val="28"/>
          <w:szCs w:val="28"/>
        </w:rPr>
        <w:t xml:space="preserve"> </w:t>
      </w:r>
      <w:r w:rsidR="007D3BB8" w:rsidRPr="00115C82">
        <w:rPr>
          <w:rFonts w:ascii="Times New Roman" w:hAnsi="Times New Roman" w:cs="Times New Roman"/>
          <w:color w:val="000000" w:themeColor="text1"/>
          <w:sz w:val="28"/>
          <w:szCs w:val="28"/>
        </w:rPr>
        <w:t xml:space="preserve">платежів з погашення державного боргу </w:t>
      </w:r>
      <w:r w:rsidR="007D3BB8">
        <w:rPr>
          <w:rFonts w:ascii="Times New Roman" w:hAnsi="Times New Roman" w:cs="Times New Roman"/>
          <w:color w:val="000000" w:themeColor="text1"/>
          <w:sz w:val="28"/>
          <w:szCs w:val="28"/>
        </w:rPr>
        <w:t xml:space="preserve">України за </w:t>
      </w:r>
      <w:r w:rsidR="006B7015">
        <w:rPr>
          <w:rFonts w:ascii="Times New Roman" w:hAnsi="Times New Roman" w:cs="Times New Roman"/>
          <w:color w:val="000000" w:themeColor="text1"/>
          <w:sz w:val="28"/>
          <w:szCs w:val="28"/>
        </w:rPr>
        <w:t>2017 р.</w:t>
      </w:r>
      <w:r w:rsidR="007D3BB8">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 xml:space="preserve">погашення зобов’язань перед МВФ </w:t>
      </w:r>
      <w:proofErr w:type="spellStart"/>
      <w:r w:rsidR="007D3BB8">
        <w:rPr>
          <w:rFonts w:ascii="Times New Roman" w:hAnsi="Times New Roman" w:cs="Times New Roman"/>
          <w:color w:val="000000" w:themeColor="text1"/>
          <w:sz w:val="28"/>
          <w:szCs w:val="28"/>
        </w:rPr>
        <w:t>сталовили</w:t>
      </w:r>
      <w:proofErr w:type="spellEnd"/>
      <w:r w:rsidR="007D3BB8">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 16836,4 млн. грн.;</w:t>
      </w:r>
      <w:r w:rsidR="007D3BB8">
        <w:rPr>
          <w:rFonts w:ascii="Times New Roman" w:hAnsi="Times New Roman" w:cs="Times New Roman"/>
          <w:color w:val="000000" w:themeColor="text1"/>
          <w:sz w:val="28"/>
          <w:szCs w:val="28"/>
        </w:rPr>
        <w:t xml:space="preserve"> </w:t>
      </w:r>
      <w:r w:rsidRPr="00115C82">
        <w:rPr>
          <w:rFonts w:ascii="Times New Roman" w:hAnsi="Times New Roman" w:cs="Times New Roman"/>
          <w:color w:val="000000" w:themeColor="text1"/>
          <w:sz w:val="28"/>
          <w:szCs w:val="28"/>
        </w:rPr>
        <w:t>перед МБРР – 7304,8 млн. грн.;</w:t>
      </w:r>
      <w:r w:rsidR="007D3BB8">
        <w:rPr>
          <w:rFonts w:ascii="Times New Roman" w:hAnsi="Times New Roman" w:cs="Times New Roman"/>
          <w:color w:val="000000" w:themeColor="text1"/>
          <w:sz w:val="28"/>
          <w:szCs w:val="28"/>
        </w:rPr>
        <w:t xml:space="preserve"> перед ЄБРР – 3251,8 млн. грн. </w:t>
      </w:r>
      <w:r w:rsidR="00707589" w:rsidRPr="00707589">
        <w:rPr>
          <w:rFonts w:ascii="Times New Roman" w:hAnsi="Times New Roman" w:cs="Times New Roman"/>
          <w:noProof/>
          <w:color w:val="000000" w:themeColor="text1"/>
          <w:sz w:val="28"/>
          <w:szCs w:val="28"/>
        </w:rPr>
        <w:t>[18</w:t>
      </w:r>
      <w:r w:rsidR="007D3BB8" w:rsidRPr="00707589">
        <w:rPr>
          <w:rFonts w:ascii="Times New Roman" w:hAnsi="Times New Roman" w:cs="Times New Roman"/>
          <w:noProof/>
          <w:color w:val="000000" w:themeColor="text1"/>
          <w:sz w:val="28"/>
          <w:szCs w:val="28"/>
        </w:rPr>
        <w:t>].</w:t>
      </w:r>
    </w:p>
    <w:p w:rsidR="00115C82" w:rsidRPr="007D3BB8" w:rsidRDefault="00115C82" w:rsidP="00615284">
      <w:pPr>
        <w:spacing w:line="360" w:lineRule="auto"/>
        <w:ind w:firstLine="284"/>
        <w:jc w:val="both"/>
        <w:rPr>
          <w:rFonts w:ascii="Times New Roman" w:hAnsi="Times New Roman" w:cs="Times New Roman"/>
          <w:color w:val="000000" w:themeColor="text1"/>
          <w:sz w:val="28"/>
          <w:szCs w:val="28"/>
        </w:rPr>
      </w:pPr>
      <w:r w:rsidRPr="007D3BB8">
        <w:rPr>
          <w:rFonts w:ascii="Times New Roman" w:hAnsi="Times New Roman" w:cs="Times New Roman"/>
          <w:color w:val="000000" w:themeColor="text1"/>
          <w:sz w:val="28"/>
          <w:szCs w:val="28"/>
        </w:rPr>
        <w:t xml:space="preserve">На обслуговування зовнішнього боргу у 2018 році Україна </w:t>
      </w:r>
      <w:r w:rsidR="007D3BB8">
        <w:rPr>
          <w:rFonts w:ascii="Times New Roman" w:hAnsi="Times New Roman" w:cs="Times New Roman"/>
          <w:color w:val="000000" w:themeColor="text1"/>
          <w:sz w:val="28"/>
          <w:szCs w:val="28"/>
        </w:rPr>
        <w:t xml:space="preserve">має витратити </w:t>
      </w:r>
      <w:r w:rsidRPr="007D3BB8">
        <w:rPr>
          <w:rFonts w:ascii="Times New Roman" w:hAnsi="Times New Roman" w:cs="Times New Roman"/>
          <w:color w:val="000000" w:themeColor="text1"/>
          <w:sz w:val="28"/>
          <w:szCs w:val="28"/>
        </w:rPr>
        <w:t xml:space="preserve">рекордну суму – 305,9 </w:t>
      </w:r>
      <w:proofErr w:type="spellStart"/>
      <w:r w:rsidRPr="007D3BB8">
        <w:rPr>
          <w:rFonts w:ascii="Times New Roman" w:hAnsi="Times New Roman" w:cs="Times New Roman"/>
          <w:color w:val="000000" w:themeColor="text1"/>
          <w:sz w:val="28"/>
          <w:szCs w:val="28"/>
        </w:rPr>
        <w:t>млрд</w:t>
      </w:r>
      <w:proofErr w:type="spellEnd"/>
      <w:r w:rsidRPr="007D3BB8">
        <w:rPr>
          <w:rFonts w:ascii="Times New Roman" w:hAnsi="Times New Roman" w:cs="Times New Roman"/>
          <w:color w:val="000000" w:themeColor="text1"/>
          <w:sz w:val="28"/>
          <w:szCs w:val="28"/>
        </w:rPr>
        <w:t xml:space="preserve"> </w:t>
      </w:r>
      <w:proofErr w:type="spellStart"/>
      <w:r w:rsidRPr="007D3BB8">
        <w:rPr>
          <w:rFonts w:ascii="Times New Roman" w:hAnsi="Times New Roman" w:cs="Times New Roman"/>
          <w:color w:val="000000" w:themeColor="text1"/>
          <w:sz w:val="28"/>
          <w:szCs w:val="28"/>
        </w:rPr>
        <w:t>грн</w:t>
      </w:r>
      <w:proofErr w:type="spellEnd"/>
      <w:r w:rsidR="00912560">
        <w:rPr>
          <w:rFonts w:ascii="Times New Roman" w:hAnsi="Times New Roman" w:cs="Times New Roman"/>
          <w:color w:val="000000" w:themeColor="text1"/>
          <w:sz w:val="28"/>
          <w:szCs w:val="28"/>
        </w:rPr>
        <w:t>, що свідчить про виникнення боргової кризи та ризик оголошення дефолту</w:t>
      </w:r>
      <w:r w:rsidRPr="007D3BB8">
        <w:rPr>
          <w:rFonts w:ascii="Times New Roman" w:hAnsi="Times New Roman" w:cs="Times New Roman"/>
          <w:color w:val="000000" w:themeColor="text1"/>
          <w:sz w:val="28"/>
          <w:szCs w:val="28"/>
        </w:rPr>
        <w:t xml:space="preserve"> </w:t>
      </w:r>
      <w:r w:rsidR="003278D6" w:rsidRPr="006B7015">
        <w:rPr>
          <w:rFonts w:ascii="Times New Roman" w:hAnsi="Times New Roman" w:cs="Times New Roman"/>
          <w:noProof/>
          <w:color w:val="000000" w:themeColor="text1"/>
          <w:sz w:val="28"/>
          <w:szCs w:val="28"/>
        </w:rPr>
        <w:t>[</w:t>
      </w:r>
      <w:r w:rsidRPr="006B7015">
        <w:rPr>
          <w:rFonts w:ascii="Times New Roman" w:hAnsi="Times New Roman" w:cs="Times New Roman"/>
          <w:noProof/>
          <w:color w:val="000000" w:themeColor="text1"/>
          <w:sz w:val="28"/>
          <w:szCs w:val="28"/>
        </w:rPr>
        <w:t>7].</w:t>
      </w:r>
    </w:p>
    <w:p w:rsidR="00615284" w:rsidRDefault="00912560" w:rsidP="00615284">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Серед чинників, що </w:t>
      </w:r>
      <w:r w:rsidR="00115C82" w:rsidRPr="00115C82">
        <w:rPr>
          <w:rFonts w:ascii="Times New Roman" w:hAnsi="Times New Roman" w:cs="Times New Roman"/>
          <w:color w:val="000000" w:themeColor="text1"/>
          <w:sz w:val="28"/>
          <w:szCs w:val="28"/>
        </w:rPr>
        <w:t>спричинили зростання</w:t>
      </w:r>
      <w:r>
        <w:rPr>
          <w:rFonts w:ascii="Times New Roman" w:hAnsi="Times New Roman" w:cs="Times New Roman"/>
          <w:color w:val="000000" w:themeColor="text1"/>
          <w:sz w:val="28"/>
          <w:szCs w:val="28"/>
        </w:rPr>
        <w:t xml:space="preserve"> зовнішньої заборгованості України – </w:t>
      </w:r>
      <w:r w:rsidR="00115C82" w:rsidRPr="00115C82">
        <w:rPr>
          <w:rFonts w:ascii="Times New Roman" w:hAnsi="Times New Roman" w:cs="Times New Roman"/>
          <w:color w:val="000000" w:themeColor="text1"/>
          <w:sz w:val="28"/>
          <w:szCs w:val="28"/>
        </w:rPr>
        <w:t>девальвація гривні</w:t>
      </w:r>
      <w:r>
        <w:rPr>
          <w:rFonts w:ascii="Times New Roman" w:hAnsi="Times New Roman" w:cs="Times New Roman"/>
          <w:color w:val="000000" w:themeColor="text1"/>
          <w:sz w:val="28"/>
          <w:szCs w:val="28"/>
        </w:rPr>
        <w:t xml:space="preserve">, </w:t>
      </w:r>
      <w:r w:rsidR="00115C82" w:rsidRPr="00115C82">
        <w:rPr>
          <w:rFonts w:ascii="Times New Roman" w:hAnsi="Times New Roman" w:cs="Times New Roman"/>
          <w:color w:val="000000" w:themeColor="text1"/>
          <w:sz w:val="28"/>
          <w:szCs w:val="28"/>
        </w:rPr>
        <w:t>падіння ВВП</w:t>
      </w:r>
      <w:r>
        <w:rPr>
          <w:rFonts w:ascii="Times New Roman" w:hAnsi="Times New Roman" w:cs="Times New Roman"/>
          <w:color w:val="000000" w:themeColor="text1"/>
          <w:sz w:val="28"/>
          <w:szCs w:val="28"/>
        </w:rPr>
        <w:t xml:space="preserve">, рецесія виробництва, падіння </w:t>
      </w:r>
      <w:r w:rsidR="00115C82" w:rsidRPr="00115C82">
        <w:rPr>
          <w:rFonts w:ascii="Times New Roman" w:hAnsi="Times New Roman" w:cs="Times New Roman"/>
          <w:color w:val="000000" w:themeColor="text1"/>
          <w:sz w:val="28"/>
          <w:szCs w:val="28"/>
        </w:rPr>
        <w:t xml:space="preserve">внутрішнього споживчого попиту внаслідок </w:t>
      </w:r>
      <w:proofErr w:type="spellStart"/>
      <w:r w:rsidR="00115C82" w:rsidRPr="00115C82">
        <w:rPr>
          <w:rFonts w:ascii="Times New Roman" w:hAnsi="Times New Roman" w:cs="Times New Roman"/>
          <w:color w:val="000000" w:themeColor="text1"/>
          <w:sz w:val="28"/>
          <w:szCs w:val="28"/>
        </w:rPr>
        <w:t>інфляційних</w:t>
      </w:r>
      <w:proofErr w:type="spellEnd"/>
      <w:r w:rsidR="00115C82" w:rsidRPr="00115C82">
        <w:rPr>
          <w:rFonts w:ascii="Times New Roman" w:hAnsi="Times New Roman" w:cs="Times New Roman"/>
          <w:color w:val="000000" w:themeColor="text1"/>
          <w:sz w:val="28"/>
          <w:szCs w:val="28"/>
        </w:rPr>
        <w:t xml:space="preserve"> процесів та безробіття, </w:t>
      </w:r>
      <w:proofErr w:type="spellStart"/>
      <w:r w:rsidR="00115C82" w:rsidRPr="00115C82">
        <w:rPr>
          <w:rFonts w:ascii="Times New Roman" w:hAnsi="Times New Roman" w:cs="Times New Roman"/>
          <w:color w:val="000000" w:themeColor="text1"/>
          <w:sz w:val="28"/>
          <w:szCs w:val="28"/>
        </w:rPr>
        <w:t>негативний</w:t>
      </w:r>
      <w:proofErr w:type="spellEnd"/>
      <w:r w:rsidR="00115C82" w:rsidRPr="00115C82">
        <w:rPr>
          <w:rFonts w:ascii="Times New Roman" w:hAnsi="Times New Roman" w:cs="Times New Roman"/>
          <w:color w:val="000000" w:themeColor="text1"/>
          <w:sz w:val="28"/>
          <w:szCs w:val="28"/>
        </w:rPr>
        <w:t xml:space="preserve"> вплив</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невиваженої</w:t>
      </w:r>
      <w:proofErr w:type="spellEnd"/>
      <w:r>
        <w:rPr>
          <w:rFonts w:ascii="Times New Roman" w:hAnsi="Times New Roman" w:cs="Times New Roman"/>
          <w:color w:val="000000" w:themeColor="text1"/>
          <w:sz w:val="28"/>
          <w:szCs w:val="28"/>
        </w:rPr>
        <w:t xml:space="preserve"> монетарної політики НБУ щодо </w:t>
      </w:r>
      <w:r>
        <w:rPr>
          <w:rFonts w:ascii="Times New Roman" w:hAnsi="Times New Roman" w:cs="Times New Roman"/>
          <w:color w:val="000000" w:themeColor="text1"/>
          <w:sz w:val="28"/>
          <w:szCs w:val="28"/>
        </w:rPr>
        <w:lastRenderedPageBreak/>
        <w:t>стимулювання процесів креди</w:t>
      </w:r>
      <w:r w:rsidR="00365FB9">
        <w:rPr>
          <w:rFonts w:ascii="Times New Roman" w:hAnsi="Times New Roman" w:cs="Times New Roman"/>
          <w:color w:val="000000" w:themeColor="text1"/>
          <w:sz w:val="28"/>
          <w:szCs w:val="28"/>
        </w:rPr>
        <w:t xml:space="preserve">тування національної економіки. Для України притаманна і низка </w:t>
      </w:r>
      <w:r w:rsidR="00115C82" w:rsidRPr="00115C82">
        <w:rPr>
          <w:rFonts w:ascii="Times New Roman" w:hAnsi="Times New Roman" w:cs="Times New Roman"/>
          <w:color w:val="000000" w:themeColor="text1"/>
          <w:sz w:val="28"/>
          <w:szCs w:val="28"/>
        </w:rPr>
        <w:t xml:space="preserve">бюджетних проблем: </w:t>
      </w:r>
      <w:r w:rsidR="00365FB9">
        <w:rPr>
          <w:rFonts w:ascii="Times New Roman" w:hAnsi="Times New Roman" w:cs="Times New Roman"/>
          <w:color w:val="000000" w:themeColor="text1"/>
          <w:sz w:val="28"/>
          <w:szCs w:val="28"/>
        </w:rPr>
        <w:t xml:space="preserve">від хронічного дефіциту Пенсійного Фонду та </w:t>
      </w:r>
      <w:r w:rsidR="00115C82" w:rsidRPr="00115C82">
        <w:rPr>
          <w:rFonts w:ascii="Times New Roman" w:hAnsi="Times New Roman" w:cs="Times New Roman"/>
          <w:color w:val="000000" w:themeColor="text1"/>
          <w:sz w:val="28"/>
          <w:szCs w:val="28"/>
        </w:rPr>
        <w:t>необхідн</w:t>
      </w:r>
      <w:r w:rsidR="00365FB9">
        <w:rPr>
          <w:rFonts w:ascii="Times New Roman" w:hAnsi="Times New Roman" w:cs="Times New Roman"/>
          <w:color w:val="000000" w:themeColor="text1"/>
          <w:sz w:val="28"/>
          <w:szCs w:val="28"/>
        </w:rPr>
        <w:t xml:space="preserve">ості емісійного </w:t>
      </w:r>
      <w:r w:rsidR="00115C82" w:rsidRPr="00115C82">
        <w:rPr>
          <w:rFonts w:ascii="Times New Roman" w:hAnsi="Times New Roman" w:cs="Times New Roman"/>
          <w:color w:val="000000" w:themeColor="text1"/>
          <w:sz w:val="28"/>
          <w:szCs w:val="28"/>
        </w:rPr>
        <w:t xml:space="preserve">покриття </w:t>
      </w:r>
      <w:r w:rsidR="00365FB9">
        <w:rPr>
          <w:rFonts w:ascii="Times New Roman" w:hAnsi="Times New Roman" w:cs="Times New Roman"/>
          <w:color w:val="000000" w:themeColor="text1"/>
          <w:sz w:val="28"/>
          <w:szCs w:val="28"/>
        </w:rPr>
        <w:t xml:space="preserve">його дефіциту, до підвищення розміру мінімальної заробітної плати без врахування динаміки зростання продуктивності праці в країні. Військовий конфлікт на Сході України, політична нестабільність – вкрай негативно позначаються на інвестуванні в українську економіку, що також зменшує надходження до державного бюджету. Експортний потенціал України, в основному, представлений продукцією сировини та напівфабрикатів, товарами з низьким вмістом </w:t>
      </w:r>
      <w:proofErr w:type="spellStart"/>
      <w:r w:rsidR="00365FB9">
        <w:rPr>
          <w:rFonts w:ascii="Times New Roman" w:hAnsi="Times New Roman" w:cs="Times New Roman"/>
          <w:color w:val="000000" w:themeColor="text1"/>
          <w:sz w:val="28"/>
          <w:szCs w:val="28"/>
        </w:rPr>
        <w:t>доданох</w:t>
      </w:r>
      <w:proofErr w:type="spellEnd"/>
      <w:r w:rsidR="00365FB9">
        <w:rPr>
          <w:rFonts w:ascii="Times New Roman" w:hAnsi="Times New Roman" w:cs="Times New Roman"/>
          <w:color w:val="000000" w:themeColor="text1"/>
          <w:sz w:val="28"/>
          <w:szCs w:val="28"/>
        </w:rPr>
        <w:t xml:space="preserve"> вартості. У свою чергу – це також збільшує дефіцит державного бюджету та загострює проблему нарощування Україною зовнішньої заборгованості та </w:t>
      </w:r>
      <w:r w:rsidR="00615284">
        <w:rPr>
          <w:rFonts w:ascii="Times New Roman" w:hAnsi="Times New Roman" w:cs="Times New Roman"/>
          <w:color w:val="000000" w:themeColor="text1"/>
          <w:sz w:val="28"/>
          <w:szCs w:val="28"/>
        </w:rPr>
        <w:t xml:space="preserve">ризики </w:t>
      </w:r>
      <w:r w:rsidR="00365FB9">
        <w:rPr>
          <w:rFonts w:ascii="Times New Roman" w:hAnsi="Times New Roman" w:cs="Times New Roman"/>
          <w:color w:val="000000" w:themeColor="text1"/>
          <w:sz w:val="28"/>
          <w:szCs w:val="28"/>
        </w:rPr>
        <w:t>розрахунк</w:t>
      </w:r>
      <w:r w:rsidR="00615284">
        <w:rPr>
          <w:rFonts w:ascii="Times New Roman" w:hAnsi="Times New Roman" w:cs="Times New Roman"/>
          <w:color w:val="000000" w:themeColor="text1"/>
          <w:sz w:val="28"/>
          <w:szCs w:val="28"/>
        </w:rPr>
        <w:t>ів</w:t>
      </w:r>
      <w:r w:rsidR="00365FB9">
        <w:rPr>
          <w:rFonts w:ascii="Times New Roman" w:hAnsi="Times New Roman" w:cs="Times New Roman"/>
          <w:color w:val="000000" w:themeColor="text1"/>
          <w:sz w:val="28"/>
          <w:szCs w:val="28"/>
        </w:rPr>
        <w:t xml:space="preserve"> по зовнішній боргам.</w:t>
      </w:r>
      <w:r w:rsidR="00615284">
        <w:rPr>
          <w:rFonts w:ascii="Times New Roman" w:hAnsi="Times New Roman" w:cs="Times New Roman"/>
          <w:color w:val="000000" w:themeColor="text1"/>
          <w:sz w:val="28"/>
          <w:szCs w:val="28"/>
        </w:rPr>
        <w:t xml:space="preserve"> Така ситуація вимагає ретельного опрацювання світового досвіду щодо шляхів погашення зовнішньої </w:t>
      </w:r>
      <w:proofErr w:type="spellStart"/>
      <w:r w:rsidR="00615284">
        <w:rPr>
          <w:rFonts w:ascii="Times New Roman" w:hAnsi="Times New Roman" w:cs="Times New Roman"/>
          <w:color w:val="000000" w:themeColor="text1"/>
          <w:sz w:val="28"/>
          <w:szCs w:val="28"/>
        </w:rPr>
        <w:t>задобгованості</w:t>
      </w:r>
      <w:proofErr w:type="spellEnd"/>
      <w:r w:rsidR="00615284">
        <w:rPr>
          <w:rFonts w:ascii="Times New Roman" w:hAnsi="Times New Roman" w:cs="Times New Roman"/>
          <w:color w:val="000000" w:themeColor="text1"/>
          <w:sz w:val="28"/>
          <w:szCs w:val="28"/>
        </w:rPr>
        <w:t xml:space="preserve"> та розробки в Україні </w:t>
      </w:r>
      <w:proofErr w:type="spellStart"/>
      <w:r w:rsidR="00615284">
        <w:rPr>
          <w:rFonts w:ascii="Times New Roman" w:hAnsi="Times New Roman" w:cs="Times New Roman"/>
          <w:color w:val="000000" w:themeColor="text1"/>
          <w:sz w:val="28"/>
          <w:szCs w:val="28"/>
        </w:rPr>
        <w:t>науково-обгрунтованої</w:t>
      </w:r>
      <w:proofErr w:type="spellEnd"/>
      <w:r w:rsidR="00615284">
        <w:rPr>
          <w:rFonts w:ascii="Times New Roman" w:hAnsi="Times New Roman" w:cs="Times New Roman"/>
          <w:color w:val="000000" w:themeColor="text1"/>
          <w:sz w:val="28"/>
          <w:szCs w:val="28"/>
        </w:rPr>
        <w:t xml:space="preserve"> державної політики реструктуризації зовнішньої заборгованості та попередження ризиків настання дефолту, уникнення можливості його оголошення. </w:t>
      </w:r>
    </w:p>
    <w:p w:rsidR="00365FB9" w:rsidRDefault="00E30D1C" w:rsidP="007951C1">
      <w:pPr>
        <w:spacing w:line="360" w:lineRule="auto"/>
        <w:ind w:firstLine="284"/>
        <w:jc w:val="both"/>
        <w:rPr>
          <w:rFonts w:ascii="Times New Roman" w:hAnsi="Times New Roman" w:cs="Times New Roman"/>
          <w:color w:val="000000" w:themeColor="text1"/>
          <w:sz w:val="28"/>
          <w:szCs w:val="28"/>
        </w:rPr>
      </w:pPr>
      <w:r w:rsidRPr="00E30D1C">
        <w:rPr>
          <w:rFonts w:ascii="Times New Roman" w:hAnsi="Times New Roman" w:cs="Times New Roman"/>
          <w:b/>
          <w:color w:val="000000" w:themeColor="text1"/>
          <w:sz w:val="28"/>
          <w:szCs w:val="28"/>
        </w:rPr>
        <w:t xml:space="preserve">Висновки із цього дослідження. </w:t>
      </w:r>
      <w:r>
        <w:rPr>
          <w:rFonts w:ascii="Times New Roman" w:hAnsi="Times New Roman" w:cs="Times New Roman"/>
          <w:color w:val="000000" w:themeColor="text1"/>
          <w:sz w:val="28"/>
          <w:szCs w:val="28"/>
        </w:rPr>
        <w:t>Д</w:t>
      </w:r>
      <w:r w:rsidRPr="00E30D1C">
        <w:rPr>
          <w:rFonts w:ascii="Times New Roman" w:hAnsi="Times New Roman" w:cs="Times New Roman"/>
          <w:color w:val="000000" w:themeColor="text1"/>
          <w:sz w:val="28"/>
          <w:szCs w:val="28"/>
        </w:rPr>
        <w:t>освід країн</w:t>
      </w:r>
      <w:r>
        <w:rPr>
          <w:rFonts w:ascii="Times New Roman" w:hAnsi="Times New Roman" w:cs="Times New Roman"/>
          <w:color w:val="000000" w:themeColor="text1"/>
          <w:sz w:val="28"/>
          <w:szCs w:val="28"/>
        </w:rPr>
        <w:t xml:space="preserve"> світу</w:t>
      </w:r>
      <w:r w:rsidRPr="00E30D1C">
        <w:rPr>
          <w:rFonts w:ascii="Times New Roman" w:hAnsi="Times New Roman" w:cs="Times New Roman"/>
          <w:color w:val="000000" w:themeColor="text1"/>
          <w:sz w:val="28"/>
          <w:szCs w:val="28"/>
        </w:rPr>
        <w:t>, що мають</w:t>
      </w:r>
      <w:r>
        <w:rPr>
          <w:rFonts w:ascii="Times New Roman" w:hAnsi="Times New Roman" w:cs="Times New Roman"/>
          <w:color w:val="000000" w:themeColor="text1"/>
          <w:sz w:val="28"/>
          <w:szCs w:val="28"/>
        </w:rPr>
        <w:t xml:space="preserve"> позитивну динаміку зростання зовнішньої заборгованості свідчить про доцільність прийняття довгострокової стратегії погашення зовнішньої заборгованості, складовими якої має стати: курс на реструктуризацію зовнішнього боргу; вихід на зовнішні ринки запозичень для швидкого залучення коштів та можливості рефінансування зовнішнього боргу. У світовій практиці не виключається й проголошення країною стану «технічного дефолту», що має супроводжуватися реструктуризацією боргів, вивільненням інвестиційних ресурсів для стимулювання розвитку реального сектору виробництва, внутрішнього виробництва товарів та послуг та збільшення експорту</w:t>
      </w:r>
      <w:r w:rsidR="00184221">
        <w:rPr>
          <w:rFonts w:ascii="Times New Roman" w:hAnsi="Times New Roman" w:cs="Times New Roman"/>
          <w:color w:val="000000" w:themeColor="text1"/>
          <w:sz w:val="28"/>
          <w:szCs w:val="28"/>
        </w:rPr>
        <w:t>.</w:t>
      </w:r>
    </w:p>
    <w:p w:rsidR="00184221" w:rsidRDefault="00184221" w:rsidP="00615284">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Монетарна політика та політика «затягування пасків», що супроводжується «заморожуванням» заробітних плат, пенсій та стипендій, скороченням соціальних виплат, зменшенням фінансування бюджетної сфери (науки, освіти, сфери охорони здоров'я) – може дати позитивний ефект виключно на </w:t>
      </w:r>
      <w:r>
        <w:rPr>
          <w:rFonts w:ascii="Times New Roman" w:hAnsi="Times New Roman" w:cs="Times New Roman"/>
          <w:color w:val="000000" w:themeColor="text1"/>
          <w:sz w:val="28"/>
          <w:szCs w:val="28"/>
        </w:rPr>
        <w:lastRenderedPageBreak/>
        <w:t>короткостроковому часовому періоді. У середньостроковому та довгостроковому часовому періоді такі заходи «б'ють» по внутрішньому ринку, проявляючись через падіння купівельної спроможності населення, зростання обсягів трудової міграції та «згортанням» споживання на внутрішньому ринку країни. Все це вкрай негативно позначається на економічній активності малого та середнього бізнесу, на розвитку національного виробництва, зменшує поповнення державного бюджету, що знову ж, обумовлює потребу країни у зовнішніх запозиченнях.</w:t>
      </w:r>
    </w:p>
    <w:p w:rsidR="00601F31" w:rsidRDefault="00601F31" w:rsidP="00615284">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Найгіршою ситуацією для країни-боржника є оголошення не технічного, а «повного» дефолту. Серед ризиків настання стану дефолту – різке знецінення національної грошової одиниці, зростання масового безробіття, зменшення золотовалютних резервів країни,  падіння темпів зростання економіки, втрата країною позитивного іміджу та довіри на світових фінансових, </w:t>
      </w:r>
      <w:proofErr w:type="spellStart"/>
      <w:r>
        <w:rPr>
          <w:rFonts w:ascii="Times New Roman" w:hAnsi="Times New Roman" w:cs="Times New Roman"/>
          <w:color w:val="000000" w:themeColor="text1"/>
          <w:sz w:val="28"/>
          <w:szCs w:val="28"/>
        </w:rPr>
        <w:t>ут.ч</w:t>
      </w:r>
      <w:proofErr w:type="spellEnd"/>
      <w:r>
        <w:rPr>
          <w:rFonts w:ascii="Times New Roman" w:hAnsi="Times New Roman" w:cs="Times New Roman"/>
          <w:color w:val="000000" w:themeColor="text1"/>
          <w:sz w:val="28"/>
          <w:szCs w:val="28"/>
        </w:rPr>
        <w:t>. кредитних,  інвестиційних, фондових, валютних ринках.</w:t>
      </w:r>
    </w:p>
    <w:p w:rsidR="00097C49" w:rsidRDefault="00097C49" w:rsidP="00615284">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601F31">
        <w:rPr>
          <w:rFonts w:ascii="Times New Roman" w:hAnsi="Times New Roman" w:cs="Times New Roman"/>
          <w:color w:val="000000" w:themeColor="text1"/>
          <w:sz w:val="28"/>
          <w:szCs w:val="28"/>
        </w:rPr>
        <w:t xml:space="preserve">айбільш </w:t>
      </w:r>
      <w:proofErr w:type="spellStart"/>
      <w:r w:rsidR="00601F31">
        <w:rPr>
          <w:rFonts w:ascii="Times New Roman" w:hAnsi="Times New Roman" w:cs="Times New Roman"/>
          <w:color w:val="000000" w:themeColor="text1"/>
          <w:sz w:val="28"/>
          <w:szCs w:val="28"/>
        </w:rPr>
        <w:t>опримальним</w:t>
      </w:r>
      <w:proofErr w:type="spellEnd"/>
      <w:r w:rsidR="00601F31">
        <w:rPr>
          <w:rFonts w:ascii="Times New Roman" w:hAnsi="Times New Roman" w:cs="Times New Roman"/>
          <w:color w:val="000000" w:themeColor="text1"/>
          <w:sz w:val="28"/>
          <w:szCs w:val="28"/>
        </w:rPr>
        <w:t xml:space="preserve"> шляхом погашення зовнішньої заборгованості для країни </w:t>
      </w:r>
      <w:r>
        <w:rPr>
          <w:rFonts w:ascii="Times New Roman" w:hAnsi="Times New Roman" w:cs="Times New Roman"/>
          <w:color w:val="000000" w:themeColor="text1"/>
          <w:sz w:val="28"/>
          <w:szCs w:val="28"/>
        </w:rPr>
        <w:t xml:space="preserve">у </w:t>
      </w:r>
      <w:proofErr w:type="spellStart"/>
      <w:r>
        <w:rPr>
          <w:rFonts w:ascii="Times New Roman" w:hAnsi="Times New Roman" w:cs="Times New Roman"/>
          <w:color w:val="000000" w:themeColor="text1"/>
          <w:sz w:val="28"/>
          <w:szCs w:val="28"/>
        </w:rPr>
        <w:t>середньо-</w:t>
      </w:r>
      <w:proofErr w:type="spellEnd"/>
      <w:r>
        <w:rPr>
          <w:rFonts w:ascii="Times New Roman" w:hAnsi="Times New Roman" w:cs="Times New Roman"/>
          <w:color w:val="000000" w:themeColor="text1"/>
          <w:sz w:val="28"/>
          <w:szCs w:val="28"/>
        </w:rPr>
        <w:t xml:space="preserve"> та довгостроковому часовому періоді є розвиток національного виробництва, модернізація старих (традиційних, індустріальних) секторів та галузей, стимулювання </w:t>
      </w:r>
      <w:proofErr w:type="spellStart"/>
      <w:r>
        <w:rPr>
          <w:rFonts w:ascii="Times New Roman" w:hAnsi="Times New Roman" w:cs="Times New Roman"/>
          <w:color w:val="000000" w:themeColor="text1"/>
          <w:sz w:val="28"/>
          <w:szCs w:val="28"/>
        </w:rPr>
        <w:t>структурно-інноваціних</w:t>
      </w:r>
      <w:proofErr w:type="spellEnd"/>
      <w:r>
        <w:rPr>
          <w:rFonts w:ascii="Times New Roman" w:hAnsi="Times New Roman" w:cs="Times New Roman"/>
          <w:color w:val="000000" w:themeColor="text1"/>
          <w:sz w:val="28"/>
          <w:szCs w:val="28"/>
        </w:rPr>
        <w:t xml:space="preserve"> зрушень. Перехід національної економіки до інноваційно-інвестиційного типу економічного зростання, зорієнтованого на випуск готової продукції з високим вмістом доданої вартості дозволить збільшити обсяги експорту та сформувати позитивне сальдо торговельного балансу, залучити до країни інвестиції, активізувати бізнес та поповнити за рахунок зростання всіх видів доходів та податків державний бюджет країни. Вирішуючи питання пошуку шляхів погашення зовнішньої заборгованості та </w:t>
      </w:r>
      <w:proofErr w:type="spellStart"/>
      <w:r>
        <w:rPr>
          <w:rFonts w:ascii="Times New Roman" w:hAnsi="Times New Roman" w:cs="Times New Roman"/>
          <w:color w:val="000000" w:themeColor="text1"/>
          <w:sz w:val="28"/>
          <w:szCs w:val="28"/>
        </w:rPr>
        <w:t>уникненння</w:t>
      </w:r>
      <w:proofErr w:type="spellEnd"/>
      <w:r>
        <w:rPr>
          <w:rFonts w:ascii="Times New Roman" w:hAnsi="Times New Roman" w:cs="Times New Roman"/>
          <w:color w:val="000000" w:themeColor="text1"/>
          <w:sz w:val="28"/>
          <w:szCs w:val="28"/>
        </w:rPr>
        <w:t xml:space="preserve"> ризиків дефолту, </w:t>
      </w:r>
      <w:r w:rsidR="008E6031">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країна має</w:t>
      </w:r>
      <w:r w:rsidR="008E6031">
        <w:rPr>
          <w:rFonts w:ascii="Times New Roman" w:hAnsi="Times New Roman" w:cs="Times New Roman"/>
          <w:color w:val="000000" w:themeColor="text1"/>
          <w:sz w:val="28"/>
          <w:szCs w:val="28"/>
        </w:rPr>
        <w:t xml:space="preserve"> орієнтуватися на пріоритетність власних національних економічних інтересів.</w:t>
      </w:r>
      <w:r>
        <w:rPr>
          <w:rFonts w:ascii="Times New Roman" w:hAnsi="Times New Roman" w:cs="Times New Roman"/>
          <w:color w:val="000000" w:themeColor="text1"/>
          <w:sz w:val="28"/>
          <w:szCs w:val="28"/>
        </w:rPr>
        <w:t xml:space="preserve"> </w:t>
      </w: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9D7974" w:rsidRDefault="009D7974" w:rsidP="00615284">
      <w:pPr>
        <w:spacing w:line="360" w:lineRule="auto"/>
        <w:ind w:firstLine="284"/>
        <w:jc w:val="both"/>
        <w:rPr>
          <w:rFonts w:ascii="Times New Roman" w:hAnsi="Times New Roman" w:cs="Times New Roman"/>
          <w:b/>
          <w:color w:val="000000" w:themeColor="text1"/>
          <w:sz w:val="28"/>
          <w:szCs w:val="28"/>
        </w:rPr>
      </w:pPr>
    </w:p>
    <w:p w:rsidR="00184221" w:rsidRPr="00B00634" w:rsidRDefault="00B00634" w:rsidP="00615284">
      <w:pPr>
        <w:spacing w:line="360" w:lineRule="auto"/>
        <w:ind w:firstLine="284"/>
        <w:jc w:val="both"/>
        <w:rPr>
          <w:rFonts w:ascii="Times New Roman" w:hAnsi="Times New Roman" w:cs="Times New Roman"/>
          <w:b/>
          <w:color w:val="000000" w:themeColor="text1"/>
          <w:sz w:val="28"/>
          <w:szCs w:val="28"/>
        </w:rPr>
      </w:pPr>
      <w:r w:rsidRPr="00B00634">
        <w:rPr>
          <w:rFonts w:ascii="Times New Roman" w:hAnsi="Times New Roman" w:cs="Times New Roman"/>
          <w:b/>
          <w:color w:val="000000" w:themeColor="text1"/>
          <w:sz w:val="28"/>
          <w:szCs w:val="28"/>
        </w:rPr>
        <w:t xml:space="preserve">Бібліографічний список. </w:t>
      </w:r>
    </w:p>
    <w:p w:rsidR="00B00634" w:rsidRPr="000D2653" w:rsidRDefault="00B00634" w:rsidP="00B0063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0D2653">
        <w:rPr>
          <w:rFonts w:ascii="Times New Roman" w:hAnsi="Times New Roman" w:cs="Times New Roman"/>
          <w:sz w:val="28"/>
          <w:szCs w:val="28"/>
        </w:rPr>
        <w:t xml:space="preserve">. </w:t>
      </w:r>
      <w:proofErr w:type="spellStart"/>
      <w:r w:rsidRPr="000D2653">
        <w:rPr>
          <w:rFonts w:ascii="Times New Roman" w:hAnsi="Times New Roman" w:cs="Times New Roman"/>
          <w:sz w:val="28"/>
          <w:szCs w:val="28"/>
        </w:rPr>
        <w:t>Вахненко</w:t>
      </w:r>
      <w:proofErr w:type="spellEnd"/>
      <w:r w:rsidRPr="000D2653">
        <w:rPr>
          <w:rFonts w:ascii="Times New Roman" w:hAnsi="Times New Roman" w:cs="Times New Roman"/>
          <w:sz w:val="28"/>
          <w:szCs w:val="28"/>
        </w:rPr>
        <w:t xml:space="preserve"> Т.П. Особливості формування державного боргу та управління його складовими у період фінансової кризи / Т.П. </w:t>
      </w:r>
      <w:proofErr w:type="spellStart"/>
      <w:r w:rsidRPr="000D2653">
        <w:rPr>
          <w:rFonts w:ascii="Times New Roman" w:hAnsi="Times New Roman" w:cs="Times New Roman"/>
          <w:sz w:val="28"/>
          <w:szCs w:val="28"/>
        </w:rPr>
        <w:t>Вахненко</w:t>
      </w:r>
      <w:proofErr w:type="spellEnd"/>
      <w:r w:rsidRPr="000D2653">
        <w:rPr>
          <w:rFonts w:ascii="Times New Roman" w:hAnsi="Times New Roman" w:cs="Times New Roman"/>
          <w:sz w:val="28"/>
          <w:szCs w:val="28"/>
        </w:rPr>
        <w:t>. // Фінанси України. – 2009. – №6. – С. 14 – 28.</w:t>
      </w:r>
    </w:p>
    <w:p w:rsidR="00B00634" w:rsidRPr="000D2653" w:rsidRDefault="00B00634" w:rsidP="00B00634">
      <w:pPr>
        <w:autoSpaceDE w:val="0"/>
        <w:autoSpaceDN w:val="0"/>
        <w:adjustRightInd w:val="0"/>
        <w:spacing w:line="360" w:lineRule="auto"/>
        <w:jc w:val="both"/>
        <w:rPr>
          <w:rFonts w:ascii="Times New Roman" w:hAnsi="Times New Roman" w:cs="Times New Roman"/>
          <w:sz w:val="28"/>
          <w:szCs w:val="28"/>
        </w:rPr>
      </w:pPr>
      <w:r w:rsidRPr="008B21CB">
        <w:rPr>
          <w:rFonts w:ascii="Times New Roman" w:hAnsi="Times New Roman" w:cs="Times New Roman"/>
          <w:sz w:val="28"/>
          <w:szCs w:val="28"/>
        </w:rPr>
        <w:t>2</w:t>
      </w:r>
      <w:r>
        <w:rPr>
          <w:rFonts w:ascii="Times New Roman" w:hAnsi="Times New Roman" w:cs="Times New Roman"/>
          <w:sz w:val="28"/>
          <w:szCs w:val="28"/>
        </w:rPr>
        <w:t>.</w:t>
      </w:r>
      <w:r w:rsidRPr="000D2653">
        <w:rPr>
          <w:rFonts w:ascii="Times New Roman" w:hAnsi="Times New Roman" w:cs="Times New Roman"/>
          <w:sz w:val="28"/>
          <w:szCs w:val="28"/>
        </w:rPr>
        <w:t xml:space="preserve">Семко Т.В. Покутня М.В. Вплив державного боргу на стійке функціонування національної економіки / Т.В. </w:t>
      </w:r>
      <w:proofErr w:type="spellStart"/>
      <w:r w:rsidRPr="000D2653">
        <w:rPr>
          <w:rFonts w:ascii="Times New Roman" w:hAnsi="Times New Roman" w:cs="Times New Roman"/>
          <w:sz w:val="28"/>
          <w:szCs w:val="28"/>
        </w:rPr>
        <w:t>Семко</w:t>
      </w:r>
      <w:proofErr w:type="spellEnd"/>
      <w:r w:rsidRPr="000D2653">
        <w:rPr>
          <w:rFonts w:ascii="Times New Roman" w:hAnsi="Times New Roman" w:cs="Times New Roman"/>
          <w:sz w:val="28"/>
          <w:szCs w:val="28"/>
        </w:rPr>
        <w:t>, М.В. Покутня // Економіка, фінанси, право. – 2010. – № 6. – С. 6 – 11.</w:t>
      </w:r>
    </w:p>
    <w:p w:rsidR="00B00634" w:rsidRPr="000D2653" w:rsidRDefault="00B00634" w:rsidP="00B0063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527FA">
        <w:rPr>
          <w:rFonts w:ascii="Times New Roman" w:hAnsi="Times New Roman" w:cs="Times New Roman"/>
          <w:sz w:val="28"/>
          <w:szCs w:val="28"/>
        </w:rPr>
        <w:t xml:space="preserve"> </w:t>
      </w:r>
      <w:proofErr w:type="spellStart"/>
      <w:r w:rsidRPr="000D2653">
        <w:rPr>
          <w:rFonts w:ascii="Times New Roman" w:hAnsi="Times New Roman" w:cs="Times New Roman"/>
          <w:sz w:val="28"/>
          <w:szCs w:val="28"/>
        </w:rPr>
        <w:t>Боринець</w:t>
      </w:r>
      <w:proofErr w:type="spellEnd"/>
      <w:r w:rsidRPr="000D2653">
        <w:rPr>
          <w:rFonts w:ascii="Times New Roman" w:hAnsi="Times New Roman" w:cs="Times New Roman"/>
          <w:sz w:val="28"/>
          <w:szCs w:val="28"/>
        </w:rPr>
        <w:t xml:space="preserve"> 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Могилко</w:t>
      </w:r>
      <w:proofErr w:type="spellEnd"/>
      <w:r>
        <w:rPr>
          <w:rFonts w:ascii="Times New Roman" w:hAnsi="Times New Roman" w:cs="Times New Roman"/>
          <w:sz w:val="28"/>
          <w:szCs w:val="28"/>
        </w:rPr>
        <w:t xml:space="preserve"> Л.В.</w:t>
      </w:r>
      <w:r w:rsidRPr="000D2653">
        <w:rPr>
          <w:rFonts w:ascii="Times New Roman" w:hAnsi="Times New Roman" w:cs="Times New Roman"/>
          <w:sz w:val="28"/>
          <w:szCs w:val="28"/>
        </w:rPr>
        <w:t xml:space="preserve"> Моделі організаційного забезпечення управління державним боргом: світовий досвід та перспективи для України / С.Я. </w:t>
      </w:r>
      <w:proofErr w:type="spellStart"/>
      <w:r w:rsidRPr="000D2653">
        <w:rPr>
          <w:rFonts w:ascii="Times New Roman" w:hAnsi="Times New Roman" w:cs="Times New Roman"/>
          <w:sz w:val="28"/>
          <w:szCs w:val="28"/>
        </w:rPr>
        <w:t>Боринець</w:t>
      </w:r>
      <w:proofErr w:type="spellEnd"/>
      <w:r w:rsidRPr="000D2653">
        <w:rPr>
          <w:rFonts w:ascii="Times New Roman" w:hAnsi="Times New Roman" w:cs="Times New Roman"/>
          <w:sz w:val="28"/>
          <w:szCs w:val="28"/>
        </w:rPr>
        <w:t xml:space="preserve">, Л.В. </w:t>
      </w:r>
      <w:proofErr w:type="spellStart"/>
      <w:r w:rsidRPr="000D2653">
        <w:rPr>
          <w:rFonts w:ascii="Times New Roman" w:hAnsi="Times New Roman" w:cs="Times New Roman"/>
          <w:sz w:val="28"/>
          <w:szCs w:val="28"/>
        </w:rPr>
        <w:t>Могилко</w:t>
      </w:r>
      <w:proofErr w:type="spellEnd"/>
      <w:r w:rsidRPr="000D2653">
        <w:rPr>
          <w:rFonts w:ascii="Times New Roman" w:hAnsi="Times New Roman" w:cs="Times New Roman"/>
          <w:sz w:val="28"/>
          <w:szCs w:val="28"/>
        </w:rPr>
        <w:t xml:space="preserve"> // Банківська справа. – 2012. – № 4. – С. 43–66.</w:t>
      </w:r>
    </w:p>
    <w:p w:rsidR="00B00634" w:rsidRPr="000D2653" w:rsidRDefault="00B00634" w:rsidP="00B0063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4.</w:t>
      </w:r>
      <w:r w:rsidR="006B7015">
        <w:rPr>
          <w:rFonts w:ascii="Times New Roman" w:hAnsi="Times New Roman" w:cs="Times New Roman"/>
          <w:sz w:val="28"/>
          <w:szCs w:val="28"/>
          <w:lang w:val="ru-RU"/>
        </w:rPr>
        <w:t xml:space="preserve"> </w:t>
      </w:r>
      <w:proofErr w:type="spellStart"/>
      <w:r w:rsidRPr="000D2653">
        <w:rPr>
          <w:rFonts w:ascii="Times New Roman" w:hAnsi="Times New Roman" w:cs="Times New Roman"/>
          <w:sz w:val="28"/>
          <w:szCs w:val="28"/>
          <w:lang w:val="ru-RU"/>
        </w:rPr>
        <w:t>Ґерд</w:t>
      </w:r>
      <w:proofErr w:type="spellEnd"/>
      <w:r w:rsidRPr="000D2653">
        <w:rPr>
          <w:rFonts w:ascii="Times New Roman" w:hAnsi="Times New Roman" w:cs="Times New Roman"/>
          <w:sz w:val="28"/>
          <w:szCs w:val="28"/>
          <w:lang w:val="ru-RU"/>
        </w:rPr>
        <w:t xml:space="preserve"> Е. </w:t>
      </w:r>
      <w:proofErr w:type="spellStart"/>
      <w:r w:rsidRPr="000D2653">
        <w:rPr>
          <w:rFonts w:ascii="Times New Roman" w:hAnsi="Times New Roman" w:cs="Times New Roman"/>
          <w:sz w:val="28"/>
          <w:szCs w:val="28"/>
          <w:lang w:val="ru-RU"/>
        </w:rPr>
        <w:t>Управління</w:t>
      </w:r>
      <w:proofErr w:type="spellEnd"/>
      <w:r w:rsidRPr="000D2653">
        <w:rPr>
          <w:rFonts w:ascii="Times New Roman" w:hAnsi="Times New Roman" w:cs="Times New Roman"/>
          <w:sz w:val="28"/>
          <w:szCs w:val="28"/>
          <w:lang w:val="ru-RU"/>
        </w:rPr>
        <w:t xml:space="preserve"> </w:t>
      </w:r>
      <w:proofErr w:type="spellStart"/>
      <w:r w:rsidRPr="000D2653">
        <w:rPr>
          <w:rFonts w:ascii="Times New Roman" w:hAnsi="Times New Roman" w:cs="Times New Roman"/>
          <w:sz w:val="28"/>
          <w:szCs w:val="28"/>
          <w:lang w:val="ru-RU"/>
        </w:rPr>
        <w:t>державним</w:t>
      </w:r>
      <w:proofErr w:type="spellEnd"/>
      <w:r w:rsidRPr="000D2653">
        <w:rPr>
          <w:rFonts w:ascii="Times New Roman" w:hAnsi="Times New Roman" w:cs="Times New Roman"/>
          <w:sz w:val="28"/>
          <w:szCs w:val="28"/>
          <w:lang w:val="ru-RU"/>
        </w:rPr>
        <w:t xml:space="preserve"> боргом: </w:t>
      </w:r>
      <w:proofErr w:type="spellStart"/>
      <w:r w:rsidRPr="000D2653">
        <w:rPr>
          <w:rFonts w:ascii="Times New Roman" w:hAnsi="Times New Roman" w:cs="Times New Roman"/>
          <w:sz w:val="28"/>
          <w:szCs w:val="28"/>
          <w:lang w:val="ru-RU"/>
        </w:rPr>
        <w:t>завдання</w:t>
      </w:r>
      <w:proofErr w:type="spellEnd"/>
      <w:r w:rsidRPr="000D2653">
        <w:rPr>
          <w:rFonts w:ascii="Times New Roman" w:hAnsi="Times New Roman" w:cs="Times New Roman"/>
          <w:sz w:val="28"/>
          <w:szCs w:val="28"/>
          <w:lang w:val="ru-RU"/>
        </w:rPr>
        <w:t xml:space="preserve">, </w:t>
      </w:r>
      <w:proofErr w:type="spellStart"/>
      <w:r w:rsidRPr="000D2653">
        <w:rPr>
          <w:rFonts w:ascii="Times New Roman" w:hAnsi="Times New Roman" w:cs="Times New Roman"/>
          <w:sz w:val="28"/>
          <w:szCs w:val="28"/>
          <w:lang w:val="ru-RU"/>
        </w:rPr>
        <w:t>цілі</w:t>
      </w:r>
      <w:proofErr w:type="spellEnd"/>
      <w:r w:rsidRPr="000D2653">
        <w:rPr>
          <w:rFonts w:ascii="Times New Roman" w:hAnsi="Times New Roman" w:cs="Times New Roman"/>
          <w:sz w:val="28"/>
          <w:szCs w:val="28"/>
          <w:lang w:val="ru-RU"/>
        </w:rPr>
        <w:t xml:space="preserve">, </w:t>
      </w:r>
      <w:proofErr w:type="spellStart"/>
      <w:r w:rsidRPr="000D2653">
        <w:rPr>
          <w:rFonts w:ascii="Times New Roman" w:hAnsi="Times New Roman" w:cs="Times New Roman"/>
          <w:sz w:val="28"/>
          <w:szCs w:val="28"/>
          <w:lang w:val="ru-RU"/>
        </w:rPr>
        <w:t>учасники</w:t>
      </w:r>
      <w:proofErr w:type="spellEnd"/>
      <w:r w:rsidRPr="000D2653">
        <w:rPr>
          <w:rFonts w:ascii="Times New Roman" w:hAnsi="Times New Roman" w:cs="Times New Roman"/>
          <w:sz w:val="28"/>
          <w:szCs w:val="28"/>
          <w:lang w:val="ru-RU"/>
        </w:rPr>
        <w:t xml:space="preserve"> / Е. </w:t>
      </w:r>
      <w:proofErr w:type="spellStart"/>
      <w:r w:rsidRPr="000D2653">
        <w:rPr>
          <w:rFonts w:ascii="Times New Roman" w:hAnsi="Times New Roman" w:cs="Times New Roman"/>
          <w:sz w:val="28"/>
          <w:szCs w:val="28"/>
          <w:lang w:val="ru-RU"/>
        </w:rPr>
        <w:t>Ґерд</w:t>
      </w:r>
      <w:proofErr w:type="spellEnd"/>
      <w:r w:rsidRPr="000D2653">
        <w:rPr>
          <w:rFonts w:ascii="Times New Roman" w:hAnsi="Times New Roman" w:cs="Times New Roman"/>
          <w:sz w:val="28"/>
          <w:szCs w:val="28"/>
          <w:lang w:val="ru-RU"/>
        </w:rPr>
        <w:t xml:space="preserve"> // </w:t>
      </w:r>
      <w:proofErr w:type="spellStart"/>
      <w:r w:rsidRPr="000D2653">
        <w:rPr>
          <w:rFonts w:ascii="Times New Roman" w:hAnsi="Times New Roman" w:cs="Times New Roman"/>
          <w:sz w:val="28"/>
          <w:szCs w:val="28"/>
          <w:lang w:val="ru-RU"/>
        </w:rPr>
        <w:t>Фінанси</w:t>
      </w:r>
      <w:proofErr w:type="spellEnd"/>
      <w:r w:rsidRPr="000D2653">
        <w:rPr>
          <w:rFonts w:ascii="Times New Roman" w:hAnsi="Times New Roman" w:cs="Times New Roman"/>
          <w:sz w:val="28"/>
          <w:szCs w:val="28"/>
          <w:lang w:val="ru-RU"/>
        </w:rPr>
        <w:t xml:space="preserve"> </w:t>
      </w:r>
      <w:proofErr w:type="spellStart"/>
      <w:r w:rsidRPr="000D2653">
        <w:rPr>
          <w:rFonts w:ascii="Times New Roman" w:hAnsi="Times New Roman" w:cs="Times New Roman"/>
          <w:sz w:val="28"/>
          <w:szCs w:val="28"/>
          <w:lang w:val="ru-RU"/>
        </w:rPr>
        <w:t>України</w:t>
      </w:r>
      <w:proofErr w:type="spellEnd"/>
      <w:r w:rsidRPr="000D2653">
        <w:rPr>
          <w:rFonts w:ascii="Times New Roman" w:hAnsi="Times New Roman" w:cs="Times New Roman"/>
          <w:sz w:val="28"/>
          <w:szCs w:val="28"/>
          <w:lang w:val="ru-RU"/>
        </w:rPr>
        <w:t>. – 2014. – № 1. – С. 7–21.</w:t>
      </w:r>
    </w:p>
    <w:p w:rsidR="00B00634" w:rsidRDefault="00B00634" w:rsidP="00B00634">
      <w:pPr>
        <w:pStyle w:val="Defaul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0D2653">
        <w:rPr>
          <w:rFonts w:ascii="Times New Roman" w:hAnsi="Times New Roman" w:cs="Times New Roman"/>
          <w:sz w:val="28"/>
          <w:szCs w:val="28"/>
          <w:lang w:val="uk-UA"/>
        </w:rPr>
        <w:t xml:space="preserve">Волошанюк Н.В., </w:t>
      </w:r>
      <w:proofErr w:type="spellStart"/>
      <w:r w:rsidRPr="000D2653">
        <w:rPr>
          <w:rFonts w:ascii="Times New Roman" w:hAnsi="Times New Roman" w:cs="Times New Roman"/>
          <w:sz w:val="28"/>
          <w:szCs w:val="28"/>
          <w:lang w:val="uk-UA"/>
        </w:rPr>
        <w:t>Мавдрик</w:t>
      </w:r>
      <w:proofErr w:type="spellEnd"/>
      <w:r w:rsidRPr="000D2653">
        <w:rPr>
          <w:rFonts w:ascii="Times New Roman" w:hAnsi="Times New Roman" w:cs="Times New Roman"/>
          <w:sz w:val="28"/>
          <w:szCs w:val="28"/>
          <w:lang w:val="uk-UA"/>
        </w:rPr>
        <w:t xml:space="preserve"> О.О. Державний борг України та його погашення </w:t>
      </w:r>
      <w:r w:rsidRPr="007539B7">
        <w:rPr>
          <w:rFonts w:ascii="Times New Roman" w:hAnsi="Times New Roman" w:cs="Times New Roman"/>
          <w:sz w:val="28"/>
          <w:szCs w:val="28"/>
          <w:lang w:val="uk-UA"/>
        </w:rPr>
        <w:t>/</w:t>
      </w:r>
      <w:r w:rsidRPr="000D2653">
        <w:rPr>
          <w:rFonts w:ascii="Times New Roman" w:hAnsi="Times New Roman" w:cs="Times New Roman"/>
          <w:sz w:val="28"/>
          <w:szCs w:val="28"/>
          <w:lang w:val="uk-UA"/>
        </w:rPr>
        <w:t xml:space="preserve"> Н.В. </w:t>
      </w:r>
      <w:proofErr w:type="spellStart"/>
      <w:r w:rsidRPr="000D2653">
        <w:rPr>
          <w:rFonts w:ascii="Times New Roman" w:hAnsi="Times New Roman" w:cs="Times New Roman"/>
          <w:sz w:val="28"/>
          <w:szCs w:val="28"/>
          <w:lang w:val="uk-UA"/>
        </w:rPr>
        <w:t>Волошанюк</w:t>
      </w:r>
      <w:proofErr w:type="spellEnd"/>
      <w:r w:rsidRPr="000D2653">
        <w:rPr>
          <w:rFonts w:ascii="Times New Roman" w:hAnsi="Times New Roman" w:cs="Times New Roman"/>
          <w:sz w:val="28"/>
          <w:szCs w:val="28"/>
          <w:lang w:val="uk-UA"/>
        </w:rPr>
        <w:t xml:space="preserve">, О.О. </w:t>
      </w:r>
      <w:proofErr w:type="spellStart"/>
      <w:r w:rsidRPr="000D2653">
        <w:rPr>
          <w:rFonts w:ascii="Times New Roman" w:hAnsi="Times New Roman" w:cs="Times New Roman"/>
          <w:sz w:val="28"/>
          <w:szCs w:val="28"/>
          <w:lang w:val="uk-UA"/>
        </w:rPr>
        <w:t>Мавдрик</w:t>
      </w:r>
      <w:proofErr w:type="spellEnd"/>
      <w:r w:rsidRPr="000D2653">
        <w:rPr>
          <w:rFonts w:ascii="Times New Roman" w:hAnsi="Times New Roman" w:cs="Times New Roman"/>
          <w:sz w:val="28"/>
          <w:szCs w:val="28"/>
          <w:lang w:val="uk-UA"/>
        </w:rPr>
        <w:t xml:space="preserve"> // Науковий вісник Херсонського державного університету. – Випуск 18. – Частина 1. – 2016 . – С. 50 – 53. </w:t>
      </w:r>
    </w:p>
    <w:p w:rsidR="00B00634" w:rsidRPr="000D2653" w:rsidRDefault="00B00634" w:rsidP="00B00634">
      <w:pPr>
        <w:autoSpaceDE w:val="0"/>
        <w:autoSpaceDN w:val="0"/>
        <w:adjustRightInd w:val="0"/>
        <w:spacing w:line="360" w:lineRule="auto"/>
        <w:jc w:val="both"/>
        <w:rPr>
          <w:rFonts w:ascii="Times New Roman" w:hAnsi="Times New Roman" w:cs="Times New Roman"/>
          <w:bCs/>
          <w:iCs/>
          <w:sz w:val="28"/>
          <w:szCs w:val="28"/>
          <w:lang w:val="ru-RU"/>
        </w:rPr>
      </w:pPr>
      <w:r>
        <w:rPr>
          <w:rFonts w:ascii="Times New Roman" w:hAnsi="Times New Roman" w:cs="Times New Roman"/>
          <w:bCs/>
          <w:iCs/>
          <w:sz w:val="28"/>
          <w:szCs w:val="28"/>
          <w:lang w:val="ru-RU"/>
        </w:rPr>
        <w:t xml:space="preserve">6. </w:t>
      </w:r>
      <w:r w:rsidRPr="000D2653">
        <w:rPr>
          <w:rFonts w:ascii="Times New Roman" w:hAnsi="Times New Roman" w:cs="Times New Roman"/>
          <w:bCs/>
          <w:iCs/>
          <w:sz w:val="28"/>
          <w:szCs w:val="28"/>
          <w:lang w:val="ru-RU"/>
        </w:rPr>
        <w:t xml:space="preserve">Руда О.Л. </w:t>
      </w:r>
      <w:proofErr w:type="spellStart"/>
      <w:r w:rsidRPr="000D2653">
        <w:rPr>
          <w:rFonts w:ascii="Times New Roman" w:hAnsi="Times New Roman" w:cs="Times New Roman"/>
          <w:bCs/>
          <w:iCs/>
          <w:sz w:val="28"/>
          <w:szCs w:val="28"/>
          <w:lang w:val="ru-RU"/>
        </w:rPr>
        <w:t>Державний</w:t>
      </w:r>
      <w:proofErr w:type="spellEnd"/>
      <w:r w:rsidRPr="000D2653">
        <w:rPr>
          <w:rFonts w:ascii="Times New Roman" w:hAnsi="Times New Roman" w:cs="Times New Roman"/>
          <w:bCs/>
          <w:iCs/>
          <w:sz w:val="28"/>
          <w:szCs w:val="28"/>
          <w:lang w:val="ru-RU"/>
        </w:rPr>
        <w:t xml:space="preserve"> борг </w:t>
      </w:r>
      <w:proofErr w:type="spellStart"/>
      <w:r w:rsidRPr="000D2653">
        <w:rPr>
          <w:rFonts w:ascii="Times New Roman" w:hAnsi="Times New Roman" w:cs="Times New Roman"/>
          <w:bCs/>
          <w:iCs/>
          <w:sz w:val="28"/>
          <w:szCs w:val="28"/>
          <w:lang w:val="ru-RU"/>
        </w:rPr>
        <w:t>України</w:t>
      </w:r>
      <w:proofErr w:type="spellEnd"/>
      <w:r w:rsidRPr="000D2653">
        <w:rPr>
          <w:rFonts w:ascii="Times New Roman" w:hAnsi="Times New Roman" w:cs="Times New Roman"/>
          <w:bCs/>
          <w:iCs/>
          <w:sz w:val="28"/>
          <w:szCs w:val="28"/>
          <w:lang w:val="ru-RU"/>
        </w:rPr>
        <w:t xml:space="preserve"> на </w:t>
      </w:r>
      <w:proofErr w:type="spellStart"/>
      <w:r w:rsidRPr="000D2653">
        <w:rPr>
          <w:rFonts w:ascii="Times New Roman" w:hAnsi="Times New Roman" w:cs="Times New Roman"/>
          <w:bCs/>
          <w:iCs/>
          <w:sz w:val="28"/>
          <w:szCs w:val="28"/>
          <w:lang w:val="ru-RU"/>
        </w:rPr>
        <w:t>сучасному</w:t>
      </w:r>
      <w:proofErr w:type="spellEnd"/>
      <w:r w:rsidRPr="000D2653">
        <w:rPr>
          <w:rFonts w:ascii="Times New Roman" w:hAnsi="Times New Roman" w:cs="Times New Roman"/>
          <w:bCs/>
          <w:iCs/>
          <w:sz w:val="28"/>
          <w:szCs w:val="28"/>
          <w:lang w:val="ru-RU"/>
        </w:rPr>
        <w:t xml:space="preserve"> </w:t>
      </w:r>
      <w:proofErr w:type="spellStart"/>
      <w:r w:rsidRPr="000D2653">
        <w:rPr>
          <w:rFonts w:ascii="Times New Roman" w:hAnsi="Times New Roman" w:cs="Times New Roman"/>
          <w:bCs/>
          <w:iCs/>
          <w:sz w:val="28"/>
          <w:szCs w:val="28"/>
          <w:lang w:val="ru-RU"/>
        </w:rPr>
        <w:t>етапі</w:t>
      </w:r>
      <w:proofErr w:type="spellEnd"/>
      <w:r w:rsidRPr="000D2653">
        <w:rPr>
          <w:rFonts w:ascii="Times New Roman" w:hAnsi="Times New Roman" w:cs="Times New Roman"/>
          <w:bCs/>
          <w:iCs/>
          <w:sz w:val="28"/>
          <w:szCs w:val="28"/>
          <w:lang w:val="ru-RU"/>
        </w:rPr>
        <w:t xml:space="preserve"> </w:t>
      </w:r>
      <w:proofErr w:type="spellStart"/>
      <w:r w:rsidRPr="000D2653">
        <w:rPr>
          <w:rFonts w:ascii="Times New Roman" w:hAnsi="Times New Roman" w:cs="Times New Roman"/>
          <w:bCs/>
          <w:iCs/>
          <w:sz w:val="28"/>
          <w:szCs w:val="28"/>
          <w:lang w:val="ru-RU"/>
        </w:rPr>
        <w:t>розвитку</w:t>
      </w:r>
      <w:proofErr w:type="spellEnd"/>
      <w:r w:rsidRPr="000D2653">
        <w:rPr>
          <w:rFonts w:ascii="Times New Roman" w:hAnsi="Times New Roman" w:cs="Times New Roman"/>
          <w:bCs/>
          <w:iCs/>
          <w:sz w:val="28"/>
          <w:szCs w:val="28"/>
          <w:lang w:val="ru-RU"/>
        </w:rPr>
        <w:t xml:space="preserve"> / </w:t>
      </w:r>
      <w:proofErr w:type="spellStart"/>
      <w:r w:rsidRPr="000D2653">
        <w:rPr>
          <w:rFonts w:ascii="Times New Roman" w:hAnsi="Times New Roman" w:cs="Times New Roman"/>
          <w:bCs/>
          <w:iCs/>
          <w:sz w:val="28"/>
          <w:szCs w:val="28"/>
          <w:lang w:val="ru-RU"/>
        </w:rPr>
        <w:t>О.Л.Руда</w:t>
      </w:r>
      <w:proofErr w:type="spellEnd"/>
      <w:r w:rsidRPr="000D2653">
        <w:rPr>
          <w:rFonts w:ascii="Times New Roman" w:hAnsi="Times New Roman" w:cs="Times New Roman"/>
          <w:bCs/>
          <w:iCs/>
          <w:sz w:val="28"/>
          <w:szCs w:val="28"/>
          <w:lang w:val="ru-RU"/>
        </w:rPr>
        <w:t xml:space="preserve"> // </w:t>
      </w:r>
      <w:proofErr w:type="spellStart"/>
      <w:r w:rsidRPr="000D2653">
        <w:rPr>
          <w:rFonts w:ascii="Times New Roman" w:hAnsi="Times New Roman" w:cs="Times New Roman"/>
          <w:bCs/>
          <w:iCs/>
          <w:sz w:val="28"/>
          <w:szCs w:val="28"/>
          <w:lang w:val="ru-RU"/>
        </w:rPr>
        <w:t>Економіка</w:t>
      </w:r>
      <w:proofErr w:type="spellEnd"/>
      <w:r w:rsidRPr="000D2653">
        <w:rPr>
          <w:rFonts w:ascii="Times New Roman" w:hAnsi="Times New Roman" w:cs="Times New Roman"/>
          <w:bCs/>
          <w:iCs/>
          <w:sz w:val="28"/>
          <w:szCs w:val="28"/>
          <w:lang w:val="ru-RU"/>
        </w:rPr>
        <w:t xml:space="preserve"> та держава. – 2015. – № 3. – С. 64 – 67.</w:t>
      </w:r>
    </w:p>
    <w:p w:rsidR="00B00634" w:rsidRPr="00654F41" w:rsidRDefault="00B00634" w:rsidP="00B00634">
      <w:pPr>
        <w:autoSpaceDE w:val="0"/>
        <w:autoSpaceDN w:val="0"/>
        <w:adjustRightInd w:val="0"/>
        <w:spacing w:line="360" w:lineRule="auto"/>
        <w:jc w:val="both"/>
        <w:rPr>
          <w:rFonts w:ascii="Times New Roman" w:hAnsi="Times New Roman" w:cs="Times New Roman"/>
          <w:color w:val="221E1F"/>
          <w:sz w:val="28"/>
          <w:szCs w:val="28"/>
        </w:rPr>
      </w:pPr>
      <w:r>
        <w:rPr>
          <w:rFonts w:ascii="Times New Roman" w:hAnsi="Times New Roman" w:cs="Times New Roman"/>
          <w:bCs/>
          <w:color w:val="221E1F"/>
          <w:sz w:val="28"/>
          <w:szCs w:val="28"/>
        </w:rPr>
        <w:t>7</w:t>
      </w:r>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Bianca</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De</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Paoli</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Glenn</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Hoggarth</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and</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Victoria</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Sa</w:t>
      </w:r>
      <w:r w:rsidRPr="00654F41">
        <w:rPr>
          <w:rFonts w:ascii="Times New Roman" w:hAnsi="Times New Roman" w:cs="Times New Roman"/>
          <w:bCs/>
          <w:color w:val="221E1F"/>
          <w:sz w:val="28"/>
          <w:szCs w:val="28"/>
        </w:rPr>
        <w:softHyphen/>
        <w:t>porta</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color w:val="221E1F"/>
          <w:sz w:val="28"/>
          <w:szCs w:val="28"/>
        </w:rPr>
        <w:t>Costs</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of</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sovereign</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default</w:t>
      </w:r>
      <w:proofErr w:type="spellEnd"/>
      <w:r w:rsidRPr="00654F41">
        <w:rPr>
          <w:rFonts w:ascii="Times New Roman" w:hAnsi="Times New Roman" w:cs="Times New Roman"/>
          <w:color w:val="221E1F"/>
          <w:sz w:val="28"/>
          <w:szCs w:val="28"/>
        </w:rPr>
        <w:t xml:space="preserve"> </w:t>
      </w:r>
      <w:r w:rsidRPr="00654F41">
        <w:rPr>
          <w:rFonts w:ascii="Times New Roman" w:hAnsi="Times New Roman" w:cs="Times New Roman"/>
          <w:sz w:val="28"/>
          <w:szCs w:val="28"/>
        </w:rPr>
        <w:t>[Електронний ресурс]. – Режим доступу:</w:t>
      </w:r>
      <w:r w:rsidRPr="00654F41">
        <w:rPr>
          <w:rFonts w:ascii="Times New Roman" w:hAnsi="Times New Roman" w:cs="Times New Roman"/>
          <w:color w:val="221E1F"/>
          <w:sz w:val="28"/>
          <w:szCs w:val="28"/>
        </w:rPr>
        <w:t xml:space="preserve"> http://www.bankofengland.co.uk/ </w:t>
      </w:r>
      <w:proofErr w:type="spellStart"/>
      <w:r w:rsidRPr="00654F41">
        <w:rPr>
          <w:rFonts w:ascii="Times New Roman" w:hAnsi="Times New Roman" w:cs="Times New Roman"/>
          <w:color w:val="221E1F"/>
          <w:sz w:val="28"/>
          <w:szCs w:val="28"/>
        </w:rPr>
        <w:t>publications</w:t>
      </w:r>
      <w:proofErr w:type="spellEnd"/>
      <w:r w:rsidRPr="00654F41">
        <w:rPr>
          <w:rFonts w:ascii="Times New Roman" w:hAnsi="Times New Roman" w:cs="Times New Roman"/>
          <w:color w:val="221E1F"/>
          <w:sz w:val="28"/>
          <w:szCs w:val="28"/>
        </w:rPr>
        <w:t>/</w:t>
      </w:r>
      <w:proofErr w:type="spellStart"/>
      <w:r w:rsidRPr="00654F41">
        <w:rPr>
          <w:rFonts w:ascii="Times New Roman" w:hAnsi="Times New Roman" w:cs="Times New Roman"/>
          <w:color w:val="221E1F"/>
          <w:sz w:val="28"/>
          <w:szCs w:val="28"/>
        </w:rPr>
        <w:t>fsr</w:t>
      </w:r>
      <w:proofErr w:type="spellEnd"/>
      <w:r w:rsidRPr="00654F41">
        <w:rPr>
          <w:rFonts w:ascii="Times New Roman" w:hAnsi="Times New Roman" w:cs="Times New Roman"/>
          <w:color w:val="221E1F"/>
          <w:sz w:val="28"/>
          <w:szCs w:val="28"/>
        </w:rPr>
        <w:t>/fs_paper01.pdf</w:t>
      </w:r>
    </w:p>
    <w:p w:rsidR="00B00634" w:rsidRPr="00654F41" w:rsidRDefault="00B00634" w:rsidP="00B00634">
      <w:pPr>
        <w:autoSpaceDE w:val="0"/>
        <w:autoSpaceDN w:val="0"/>
        <w:adjustRightInd w:val="0"/>
        <w:spacing w:line="360" w:lineRule="auto"/>
        <w:jc w:val="both"/>
        <w:rPr>
          <w:rFonts w:ascii="Times New Roman" w:hAnsi="Times New Roman" w:cs="Times New Roman"/>
          <w:color w:val="221E1F"/>
          <w:sz w:val="28"/>
          <w:szCs w:val="28"/>
        </w:rPr>
      </w:pPr>
      <w:r>
        <w:rPr>
          <w:rFonts w:ascii="Times New Roman" w:hAnsi="Times New Roman" w:cs="Times New Roman"/>
          <w:bCs/>
          <w:color w:val="221E1F"/>
          <w:sz w:val="28"/>
          <w:szCs w:val="28"/>
        </w:rPr>
        <w:t>8</w:t>
      </w:r>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Mark</w:t>
      </w:r>
      <w:proofErr w:type="spellEnd"/>
      <w:r w:rsidRPr="00654F41">
        <w:rPr>
          <w:rFonts w:ascii="Times New Roman" w:hAnsi="Times New Roman" w:cs="Times New Roman"/>
          <w:bCs/>
          <w:color w:val="221E1F"/>
          <w:sz w:val="28"/>
          <w:szCs w:val="28"/>
        </w:rPr>
        <w:t xml:space="preserve"> L. J. </w:t>
      </w:r>
      <w:proofErr w:type="spellStart"/>
      <w:r w:rsidRPr="00654F41">
        <w:rPr>
          <w:rFonts w:ascii="Times New Roman" w:hAnsi="Times New Roman" w:cs="Times New Roman"/>
          <w:bCs/>
          <w:color w:val="221E1F"/>
          <w:sz w:val="28"/>
          <w:szCs w:val="28"/>
        </w:rPr>
        <w:t>Wright</w:t>
      </w:r>
      <w:proofErr w:type="spellEnd"/>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color w:val="221E1F"/>
          <w:sz w:val="28"/>
          <w:szCs w:val="28"/>
        </w:rPr>
        <w:t>Sovereign</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Debt</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Restructuring</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Prob</w:t>
      </w:r>
      <w:r w:rsidRPr="00654F41">
        <w:rPr>
          <w:rFonts w:ascii="Times New Roman" w:hAnsi="Times New Roman" w:cs="Times New Roman"/>
          <w:color w:val="221E1F"/>
          <w:sz w:val="28"/>
          <w:szCs w:val="28"/>
        </w:rPr>
        <w:softHyphen/>
        <w:t>lems</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and</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Prospects</w:t>
      </w:r>
      <w:proofErr w:type="spellEnd"/>
      <w:r w:rsidRPr="00654F41">
        <w:rPr>
          <w:rFonts w:ascii="Times New Roman" w:hAnsi="Times New Roman" w:cs="Times New Roman"/>
          <w:color w:val="221E1F"/>
          <w:sz w:val="28"/>
          <w:szCs w:val="28"/>
        </w:rPr>
        <w:t xml:space="preserve"> / L. J. </w:t>
      </w:r>
      <w:proofErr w:type="spellStart"/>
      <w:r w:rsidRPr="00654F41">
        <w:rPr>
          <w:rFonts w:ascii="Times New Roman" w:hAnsi="Times New Roman" w:cs="Times New Roman"/>
          <w:color w:val="221E1F"/>
          <w:sz w:val="28"/>
          <w:szCs w:val="28"/>
        </w:rPr>
        <w:t>Mark</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Wright</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Electronic</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resource</w:t>
      </w:r>
      <w:proofErr w:type="spellEnd"/>
      <w:r w:rsidRPr="00654F41">
        <w:rPr>
          <w:rFonts w:ascii="Times New Roman" w:hAnsi="Times New Roman" w:cs="Times New Roman"/>
          <w:color w:val="221E1F"/>
          <w:sz w:val="28"/>
          <w:szCs w:val="28"/>
        </w:rPr>
        <w:t xml:space="preserve">]. – </w:t>
      </w:r>
      <w:proofErr w:type="spellStart"/>
      <w:r w:rsidRPr="00654F41">
        <w:rPr>
          <w:rFonts w:ascii="Times New Roman" w:hAnsi="Times New Roman" w:cs="Times New Roman"/>
          <w:color w:val="221E1F"/>
          <w:sz w:val="28"/>
          <w:szCs w:val="28"/>
        </w:rPr>
        <w:t>Mode</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of</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access</w:t>
      </w:r>
      <w:proofErr w:type="spellEnd"/>
      <w:r w:rsidRPr="00654F41">
        <w:rPr>
          <w:rFonts w:ascii="Times New Roman" w:hAnsi="Times New Roman" w:cs="Times New Roman"/>
          <w:color w:val="221E1F"/>
          <w:sz w:val="28"/>
          <w:szCs w:val="28"/>
        </w:rPr>
        <w:t xml:space="preserve"> : </w:t>
      </w:r>
      <w:r w:rsidRPr="00575DEB">
        <w:rPr>
          <w:rFonts w:ascii="Times New Roman" w:hAnsi="Times New Roman" w:cs="Times New Roman"/>
          <w:sz w:val="28"/>
          <w:szCs w:val="28"/>
        </w:rPr>
        <w:t>http://www.econ.ucla.edu/mlwright/research/workingpapers/SDRPP.pdf</w:t>
      </w:r>
      <w:r w:rsidRPr="00654F41">
        <w:rPr>
          <w:rFonts w:ascii="Times New Roman" w:hAnsi="Times New Roman" w:cs="Times New Roman"/>
          <w:color w:val="221E1F"/>
          <w:sz w:val="28"/>
          <w:szCs w:val="28"/>
        </w:rPr>
        <w:t>.</w:t>
      </w:r>
    </w:p>
    <w:p w:rsidR="00B00634" w:rsidRPr="00654F41" w:rsidRDefault="00B00634" w:rsidP="00B00634">
      <w:pPr>
        <w:autoSpaceDE w:val="0"/>
        <w:autoSpaceDN w:val="0"/>
        <w:adjustRightInd w:val="0"/>
        <w:spacing w:line="360" w:lineRule="auto"/>
        <w:jc w:val="both"/>
        <w:rPr>
          <w:rFonts w:ascii="Times New Roman" w:hAnsi="Times New Roman" w:cs="Times New Roman"/>
          <w:color w:val="221E1F"/>
          <w:sz w:val="28"/>
          <w:szCs w:val="28"/>
        </w:rPr>
      </w:pPr>
      <w:r>
        <w:rPr>
          <w:rFonts w:ascii="Times New Roman" w:hAnsi="Times New Roman" w:cs="Times New Roman"/>
          <w:bCs/>
          <w:color w:val="221E1F"/>
          <w:sz w:val="28"/>
          <w:szCs w:val="28"/>
        </w:rPr>
        <w:t>9</w:t>
      </w:r>
      <w:r w:rsidRPr="00654F41">
        <w:rPr>
          <w:rFonts w:ascii="Times New Roman" w:hAnsi="Times New Roman" w:cs="Times New Roman"/>
          <w:bCs/>
          <w:color w:val="221E1F"/>
          <w:sz w:val="28"/>
          <w:szCs w:val="28"/>
        </w:rPr>
        <w:t xml:space="preserve">. </w:t>
      </w:r>
      <w:proofErr w:type="spellStart"/>
      <w:r w:rsidRPr="00654F41">
        <w:rPr>
          <w:rFonts w:ascii="Times New Roman" w:hAnsi="Times New Roman" w:cs="Times New Roman"/>
          <w:bCs/>
          <w:color w:val="221E1F"/>
          <w:sz w:val="28"/>
          <w:szCs w:val="28"/>
        </w:rPr>
        <w:t>Peter</w:t>
      </w:r>
      <w:proofErr w:type="spellEnd"/>
      <w:r w:rsidRPr="00654F41">
        <w:rPr>
          <w:rFonts w:ascii="Times New Roman" w:hAnsi="Times New Roman" w:cs="Times New Roman"/>
          <w:bCs/>
          <w:color w:val="221E1F"/>
          <w:sz w:val="28"/>
          <w:szCs w:val="28"/>
        </w:rPr>
        <w:t xml:space="preserve"> H. </w:t>
      </w:r>
      <w:proofErr w:type="spellStart"/>
      <w:r w:rsidRPr="00654F41">
        <w:rPr>
          <w:rFonts w:ascii="Times New Roman" w:hAnsi="Times New Roman" w:cs="Times New Roman"/>
          <w:bCs/>
          <w:color w:val="221E1F"/>
          <w:sz w:val="28"/>
          <w:szCs w:val="28"/>
        </w:rPr>
        <w:t>Lindert</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How</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Sovereign</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Debt</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Has</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Worked</w:t>
      </w:r>
      <w:proofErr w:type="spellEnd"/>
      <w:r w:rsidRPr="00654F41">
        <w:rPr>
          <w:rFonts w:ascii="Times New Roman" w:hAnsi="Times New Roman" w:cs="Times New Roman"/>
          <w:color w:val="221E1F"/>
          <w:sz w:val="28"/>
          <w:szCs w:val="28"/>
        </w:rPr>
        <w:t xml:space="preserve"> / </w:t>
      </w:r>
      <w:proofErr w:type="spellStart"/>
      <w:r w:rsidRPr="00654F41">
        <w:rPr>
          <w:rFonts w:ascii="Times New Roman" w:hAnsi="Times New Roman" w:cs="Times New Roman"/>
          <w:color w:val="221E1F"/>
          <w:sz w:val="28"/>
          <w:szCs w:val="28"/>
        </w:rPr>
        <w:t>Peter</w:t>
      </w:r>
      <w:proofErr w:type="spellEnd"/>
      <w:r w:rsidRPr="00654F41">
        <w:rPr>
          <w:rFonts w:ascii="Times New Roman" w:hAnsi="Times New Roman" w:cs="Times New Roman"/>
          <w:color w:val="221E1F"/>
          <w:sz w:val="28"/>
          <w:szCs w:val="28"/>
        </w:rPr>
        <w:t xml:space="preserve"> H. </w:t>
      </w:r>
      <w:proofErr w:type="spellStart"/>
      <w:r w:rsidRPr="00654F41">
        <w:rPr>
          <w:rFonts w:ascii="Times New Roman" w:hAnsi="Times New Roman" w:cs="Times New Roman"/>
          <w:color w:val="221E1F"/>
          <w:sz w:val="28"/>
          <w:szCs w:val="28"/>
        </w:rPr>
        <w:t>Lindert</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Peter</w:t>
      </w:r>
      <w:proofErr w:type="spellEnd"/>
      <w:r w:rsidRPr="00654F41">
        <w:rPr>
          <w:rFonts w:ascii="Times New Roman" w:hAnsi="Times New Roman" w:cs="Times New Roman"/>
          <w:color w:val="221E1F"/>
          <w:sz w:val="28"/>
          <w:szCs w:val="28"/>
        </w:rPr>
        <w:t xml:space="preserve"> J. </w:t>
      </w:r>
      <w:proofErr w:type="spellStart"/>
      <w:r w:rsidRPr="00654F41">
        <w:rPr>
          <w:rFonts w:ascii="Times New Roman" w:hAnsi="Times New Roman" w:cs="Times New Roman"/>
          <w:color w:val="221E1F"/>
          <w:sz w:val="28"/>
          <w:szCs w:val="28"/>
        </w:rPr>
        <w:t>Morton</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Electronic</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resource</w:t>
      </w:r>
      <w:proofErr w:type="spellEnd"/>
      <w:r w:rsidRPr="00654F41">
        <w:rPr>
          <w:rFonts w:ascii="Times New Roman" w:hAnsi="Times New Roman" w:cs="Times New Roman"/>
          <w:color w:val="221E1F"/>
          <w:sz w:val="28"/>
          <w:szCs w:val="28"/>
        </w:rPr>
        <w:t xml:space="preserve">]. – </w:t>
      </w:r>
      <w:proofErr w:type="spellStart"/>
      <w:r w:rsidRPr="00654F41">
        <w:rPr>
          <w:rFonts w:ascii="Times New Roman" w:hAnsi="Times New Roman" w:cs="Times New Roman"/>
          <w:color w:val="221E1F"/>
          <w:sz w:val="28"/>
          <w:szCs w:val="28"/>
        </w:rPr>
        <w:t>Mode</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of</w:t>
      </w:r>
      <w:proofErr w:type="spellEnd"/>
      <w:r w:rsidRPr="00654F41">
        <w:rPr>
          <w:rFonts w:ascii="Times New Roman" w:hAnsi="Times New Roman" w:cs="Times New Roman"/>
          <w:color w:val="221E1F"/>
          <w:sz w:val="28"/>
          <w:szCs w:val="28"/>
        </w:rPr>
        <w:t xml:space="preserve"> </w:t>
      </w:r>
      <w:proofErr w:type="spellStart"/>
      <w:r w:rsidRPr="00654F41">
        <w:rPr>
          <w:rFonts w:ascii="Times New Roman" w:hAnsi="Times New Roman" w:cs="Times New Roman"/>
          <w:color w:val="221E1F"/>
          <w:sz w:val="28"/>
          <w:szCs w:val="28"/>
        </w:rPr>
        <w:t>access</w:t>
      </w:r>
      <w:proofErr w:type="spellEnd"/>
      <w:r w:rsidRPr="00654F41">
        <w:rPr>
          <w:rFonts w:ascii="Times New Roman" w:hAnsi="Times New Roman" w:cs="Times New Roman"/>
          <w:color w:val="221E1F"/>
          <w:sz w:val="28"/>
          <w:szCs w:val="28"/>
        </w:rPr>
        <w:t xml:space="preserve"> : </w:t>
      </w:r>
      <w:r w:rsidRPr="00575DEB">
        <w:rPr>
          <w:rFonts w:ascii="Times New Roman" w:hAnsi="Times New Roman" w:cs="Times New Roman"/>
          <w:sz w:val="28"/>
          <w:szCs w:val="28"/>
        </w:rPr>
        <w:t>http://www.nber.org/chapters/c8987.pdf</w:t>
      </w:r>
    </w:p>
    <w:p w:rsidR="00B00634" w:rsidRDefault="00B00634" w:rsidP="006B7015">
      <w:pPr>
        <w:shd w:val="clear" w:color="auto" w:fill="FFFFFF"/>
        <w:spacing w:line="360" w:lineRule="auto"/>
        <w:jc w:val="both"/>
        <w:rPr>
          <w:rFonts w:ascii="Times New Roman" w:hAnsi="Times New Roman" w:cs="Times New Roman"/>
          <w:sz w:val="28"/>
          <w:szCs w:val="28"/>
        </w:rPr>
      </w:pPr>
      <w:r w:rsidRPr="007A384C">
        <w:rPr>
          <w:rFonts w:ascii="Times New Roman" w:eastAsia="Times New Roman" w:hAnsi="Times New Roman" w:cs="Times New Roman"/>
          <w:sz w:val="28"/>
          <w:szCs w:val="28"/>
          <w:lang w:eastAsia="uk-UA"/>
        </w:rPr>
        <w:lastRenderedPageBreak/>
        <w:t xml:space="preserve">10. Офіційний сайт Міжнародного Валютного Фонду. – [Електронний ресурс]. - Режим доступу: </w:t>
      </w:r>
      <w:r w:rsidR="006B7015" w:rsidRPr="006B7015">
        <w:rPr>
          <w:rFonts w:ascii="Times New Roman" w:eastAsia="Times New Roman" w:hAnsi="Times New Roman" w:cs="Times New Roman"/>
          <w:sz w:val="28"/>
          <w:szCs w:val="28"/>
          <w:lang w:eastAsia="uk-UA"/>
        </w:rPr>
        <w:t>http://www.imf.org</w:t>
      </w:r>
    </w:p>
    <w:p w:rsidR="006B7015" w:rsidRPr="006B7015" w:rsidRDefault="006B7015" w:rsidP="006B7015">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1A3365">
        <w:rPr>
          <w:rFonts w:ascii="Times New Roman" w:hAnsi="Times New Roman" w:cs="Times New Roman"/>
          <w:sz w:val="28"/>
          <w:szCs w:val="28"/>
        </w:rPr>
        <w:t>The</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Greek</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Public</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Debt</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Problem</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by</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Michalis</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Nikiforos</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Dimitri</w:t>
      </w:r>
      <w:proofErr w:type="spellEnd"/>
      <w:r w:rsidRPr="001A3365">
        <w:rPr>
          <w:rFonts w:ascii="Times New Roman" w:hAnsi="Times New Roman" w:cs="Times New Roman"/>
          <w:sz w:val="28"/>
          <w:szCs w:val="28"/>
        </w:rPr>
        <w:t xml:space="preserve"> B. </w:t>
      </w:r>
      <w:proofErr w:type="spellStart"/>
      <w:r w:rsidRPr="001A3365">
        <w:rPr>
          <w:rFonts w:ascii="Times New Roman" w:hAnsi="Times New Roman" w:cs="Times New Roman"/>
          <w:sz w:val="28"/>
          <w:szCs w:val="28"/>
        </w:rPr>
        <w:t>Papadimitriou</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and</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Gennaro</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Zezza</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Levy</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Economics</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Institute</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of</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Bard</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College</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May</w:t>
      </w:r>
      <w:proofErr w:type="spellEnd"/>
      <w:r w:rsidRPr="001A3365">
        <w:rPr>
          <w:rFonts w:ascii="Times New Roman" w:hAnsi="Times New Roman" w:cs="Times New Roman"/>
          <w:sz w:val="28"/>
          <w:szCs w:val="28"/>
        </w:rPr>
        <w:t xml:space="preserve"> 2016. – [Електронний ресурс]. – Режим доступу:</w:t>
      </w:r>
      <w:r w:rsidRPr="001A3365">
        <w:t xml:space="preserve"> </w:t>
      </w:r>
      <w:r w:rsidRPr="001A3365">
        <w:rPr>
          <w:rFonts w:ascii="Times New Roman" w:hAnsi="Times New Roman" w:cs="Times New Roman"/>
          <w:sz w:val="28"/>
          <w:szCs w:val="28"/>
        </w:rPr>
        <w:t xml:space="preserve"> </w:t>
      </w:r>
      <w:r w:rsidRPr="006B7015">
        <w:rPr>
          <w:rFonts w:ascii="Times New Roman" w:hAnsi="Times New Roman" w:cs="Times New Roman"/>
          <w:sz w:val="28"/>
          <w:szCs w:val="28"/>
        </w:rPr>
        <w:t>http://www.levyinstitute.org/pubs/wp_867.pdf</w:t>
      </w:r>
    </w:p>
    <w:p w:rsidR="006B7015" w:rsidRPr="00E802A4" w:rsidRDefault="006B7015" w:rsidP="006B7015">
      <w:pPr>
        <w:spacing w:line="360" w:lineRule="auto"/>
        <w:rPr>
          <w:rFonts w:ascii="Times New Roman" w:hAnsi="Times New Roman" w:cs="Times New Roman"/>
          <w:sz w:val="28"/>
          <w:szCs w:val="28"/>
          <w:lang w:val="en-US"/>
        </w:rPr>
      </w:pPr>
      <w:r w:rsidRPr="006B7015">
        <w:rPr>
          <w:rFonts w:ascii="Times New Roman" w:hAnsi="Times New Roman" w:cs="Times New Roman"/>
          <w:sz w:val="28"/>
          <w:szCs w:val="28"/>
          <w:lang w:val="en-US"/>
        </w:rPr>
        <w:t>12.</w:t>
      </w:r>
      <w:r>
        <w:rPr>
          <w:rFonts w:ascii="Times New Roman" w:hAnsi="Times New Roman" w:cs="Times New Roman"/>
          <w:sz w:val="28"/>
          <w:szCs w:val="28"/>
          <w:lang w:val="en-US"/>
        </w:rPr>
        <w:t xml:space="preserve"> </w:t>
      </w:r>
      <w:r w:rsidRPr="00E802A4">
        <w:rPr>
          <w:rFonts w:ascii="Times New Roman" w:hAnsi="Times New Roman" w:cs="Times New Roman"/>
          <w:sz w:val="28"/>
          <w:szCs w:val="28"/>
          <w:lang w:val="en-US"/>
        </w:rPr>
        <w:t>Taxation and investment in France 2017</w:t>
      </w:r>
      <w:r w:rsidRPr="001A3365">
        <w:rPr>
          <w:rFonts w:ascii="Times New Roman" w:hAnsi="Times New Roman" w:cs="Times New Roman"/>
          <w:sz w:val="28"/>
          <w:szCs w:val="28"/>
        </w:rPr>
        <w:t>. – [Електронний ресурс]. – Режим доступу:</w:t>
      </w:r>
      <w:r w:rsidRPr="006B7015">
        <w:rPr>
          <w:rFonts w:ascii="Times New Roman" w:hAnsi="Times New Roman" w:cs="Times New Roman"/>
          <w:sz w:val="28"/>
          <w:szCs w:val="28"/>
          <w:lang w:val="en-US"/>
        </w:rPr>
        <w:t>https://www2.deloitte.com/content/dam/Deloitte/global/Documents/Tax/dttl-tax-franceguide-2017.pdf</w:t>
      </w:r>
    </w:p>
    <w:p w:rsidR="00D527FA" w:rsidRPr="00E802A4" w:rsidRDefault="00D527FA" w:rsidP="00D527F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spellStart"/>
      <w:r w:rsidRPr="00D527FA">
        <w:rPr>
          <w:rFonts w:ascii="Times New Roman" w:hAnsi="Times New Roman" w:cs="Times New Roman"/>
          <w:sz w:val="28"/>
          <w:szCs w:val="28"/>
        </w:rPr>
        <w:t>Debt_relief_for_a_living_economy_in_G</w:t>
      </w:r>
      <w:proofErr w:type="spellEnd"/>
      <w:r w:rsidRPr="00D527FA">
        <w:rPr>
          <w:rFonts w:ascii="Times New Roman" w:hAnsi="Times New Roman" w:cs="Times New Roman"/>
          <w:sz w:val="28"/>
          <w:szCs w:val="28"/>
        </w:rPr>
        <w:t>reece.</w:t>
      </w:r>
      <w:r w:rsidRPr="001A3365">
        <w:rPr>
          <w:rFonts w:ascii="Times New Roman" w:hAnsi="Times New Roman" w:cs="Times New Roman"/>
          <w:sz w:val="28"/>
          <w:szCs w:val="28"/>
        </w:rPr>
        <w:t xml:space="preserve"> </w:t>
      </w:r>
      <w:r>
        <w:rPr>
          <w:rFonts w:ascii="Times New Roman" w:hAnsi="Times New Roman" w:cs="Times New Roman"/>
          <w:sz w:val="28"/>
          <w:szCs w:val="28"/>
        </w:rPr>
        <w:t xml:space="preserve">– [Електронний ресурс]. – </w:t>
      </w:r>
      <w:proofErr w:type="spellStart"/>
      <w:r>
        <w:rPr>
          <w:rFonts w:ascii="Times New Roman" w:hAnsi="Times New Roman" w:cs="Times New Roman"/>
          <w:sz w:val="28"/>
          <w:szCs w:val="28"/>
        </w:rPr>
        <w:t>Режим</w:t>
      </w:r>
      <w:r w:rsidRPr="001A3365">
        <w:rPr>
          <w:rFonts w:ascii="Times New Roman" w:hAnsi="Times New Roman" w:cs="Times New Roman"/>
          <w:sz w:val="28"/>
          <w:szCs w:val="28"/>
        </w:rPr>
        <w:t>доступу</w:t>
      </w:r>
      <w:proofErr w:type="spellEnd"/>
      <w:r w:rsidRPr="001A3365">
        <w:rPr>
          <w:rFonts w:ascii="Times New Roman" w:hAnsi="Times New Roman" w:cs="Times New Roman"/>
          <w:sz w:val="28"/>
          <w:szCs w:val="28"/>
        </w:rPr>
        <w:t>:</w:t>
      </w:r>
      <w:r w:rsidRPr="00D527FA">
        <w:rPr>
          <w:rFonts w:ascii="Times New Roman" w:hAnsi="Times New Roman" w:cs="Times New Roman"/>
          <w:sz w:val="28"/>
          <w:szCs w:val="28"/>
          <w:lang w:val="en-US"/>
        </w:rPr>
        <w:t>http://</w:t>
      </w:r>
      <w:r>
        <w:rPr>
          <w:rFonts w:ascii="Times New Roman" w:hAnsi="Times New Roman" w:cs="Times New Roman"/>
          <w:sz w:val="28"/>
          <w:szCs w:val="28"/>
          <w:lang w:val="en-US"/>
        </w:rPr>
        <w:t>www.wwf.gr/lessdebtmoreearth/wp</w:t>
      </w:r>
      <w:r w:rsidRPr="00D527FA">
        <w:rPr>
          <w:rFonts w:ascii="Times New Roman" w:hAnsi="Times New Roman" w:cs="Times New Roman"/>
          <w:sz w:val="28"/>
          <w:szCs w:val="28"/>
          <w:lang w:val="en-US"/>
        </w:rPr>
        <w:t>content/uploads/2016/11/Debt_relief_for_a_living_economy_in_Greece_19Oct2016.pdf</w:t>
      </w:r>
    </w:p>
    <w:p w:rsidR="00D527FA" w:rsidRPr="0091263B" w:rsidRDefault="00D527FA" w:rsidP="00D527FA">
      <w:pPr>
        <w:spacing w:line="360" w:lineRule="auto"/>
        <w:rPr>
          <w:rFonts w:ascii="Times New Roman" w:hAnsi="Times New Roman" w:cs="Times New Roman"/>
          <w:sz w:val="28"/>
          <w:szCs w:val="28"/>
          <w:lang w:val="ru-RU"/>
        </w:rPr>
      </w:pPr>
      <w:r>
        <w:rPr>
          <w:rFonts w:ascii="Times New Roman" w:hAnsi="Times New Roman" w:cs="Times New Roman"/>
          <w:sz w:val="28"/>
          <w:szCs w:val="28"/>
          <w:lang w:val="en-US"/>
        </w:rPr>
        <w:t xml:space="preserve">14. </w:t>
      </w:r>
      <w:r w:rsidRPr="001A3365">
        <w:rPr>
          <w:rFonts w:ascii="Times New Roman" w:hAnsi="Times New Roman" w:cs="Times New Roman"/>
          <w:sz w:val="28"/>
          <w:szCs w:val="28"/>
        </w:rPr>
        <w:t xml:space="preserve">IMF </w:t>
      </w:r>
      <w:proofErr w:type="spellStart"/>
      <w:r w:rsidRPr="001A3365">
        <w:rPr>
          <w:rFonts w:ascii="Times New Roman" w:hAnsi="Times New Roman" w:cs="Times New Roman"/>
          <w:sz w:val="28"/>
          <w:szCs w:val="28"/>
        </w:rPr>
        <w:t>country</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report</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no</w:t>
      </w:r>
      <w:proofErr w:type="spellEnd"/>
      <w:r w:rsidRPr="001A3365">
        <w:rPr>
          <w:rFonts w:ascii="Times New Roman" w:hAnsi="Times New Roman" w:cs="Times New Roman"/>
          <w:sz w:val="28"/>
          <w:szCs w:val="28"/>
        </w:rPr>
        <w:t xml:space="preserve">. 16/130 </w:t>
      </w:r>
      <w:proofErr w:type="spellStart"/>
      <w:r w:rsidRPr="001A3365">
        <w:rPr>
          <w:rFonts w:ascii="Times New Roman" w:hAnsi="Times New Roman" w:cs="Times New Roman"/>
          <w:sz w:val="28"/>
          <w:szCs w:val="28"/>
        </w:rPr>
        <w:t>Greece</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preliminary</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debt</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sustainability</w:t>
      </w:r>
      <w:proofErr w:type="spellEnd"/>
      <w:r w:rsidRPr="001A3365">
        <w:rPr>
          <w:rFonts w:ascii="Times New Roman" w:hAnsi="Times New Roman" w:cs="Times New Roman"/>
          <w:sz w:val="28"/>
          <w:szCs w:val="28"/>
        </w:rPr>
        <w:t xml:space="preserve"> analysis— </w:t>
      </w:r>
      <w:proofErr w:type="spellStart"/>
      <w:r w:rsidRPr="001A3365">
        <w:rPr>
          <w:rFonts w:ascii="Times New Roman" w:hAnsi="Times New Roman" w:cs="Times New Roman"/>
          <w:sz w:val="28"/>
          <w:szCs w:val="28"/>
        </w:rPr>
        <w:t>updated</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estimates</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and</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further</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considerations</w:t>
      </w:r>
      <w:proofErr w:type="spellEnd"/>
      <w:r w:rsidR="00B451E1">
        <w:rPr>
          <w:rFonts w:ascii="Times New Roman" w:hAnsi="Times New Roman" w:cs="Times New Roman"/>
          <w:sz w:val="28"/>
          <w:szCs w:val="28"/>
        </w:rPr>
        <w:t>.</w:t>
      </w:r>
      <w:r w:rsidRPr="001A3365">
        <w:rPr>
          <w:rFonts w:ascii="Times New Roman" w:hAnsi="Times New Roman" w:cs="Times New Roman"/>
          <w:sz w:val="28"/>
          <w:szCs w:val="28"/>
        </w:rPr>
        <w:t xml:space="preserve"> [Електронний ресурс]. – Режим доступу:</w:t>
      </w:r>
      <w:r w:rsidRPr="00D527FA">
        <w:rPr>
          <w:rFonts w:ascii="Times New Roman" w:hAnsi="Times New Roman" w:cs="Times New Roman"/>
          <w:sz w:val="28"/>
          <w:szCs w:val="28"/>
        </w:rPr>
        <w:t>https://www.imf.org/external/pubs/ft/scr/2016/cr16130.pdf</w:t>
      </w:r>
    </w:p>
    <w:p w:rsidR="00365FB9" w:rsidRDefault="00D527FA" w:rsidP="00B451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 </w:t>
      </w:r>
      <w:proofErr w:type="spellStart"/>
      <w:r w:rsidR="00B451E1" w:rsidRPr="001A3365">
        <w:rPr>
          <w:rFonts w:ascii="Times New Roman" w:hAnsi="Times New Roman" w:cs="Times New Roman"/>
          <w:sz w:val="28"/>
          <w:szCs w:val="28"/>
        </w:rPr>
        <w:t>Annual</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report</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on</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public</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debt</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in</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Ireland</w:t>
      </w:r>
      <w:proofErr w:type="spellEnd"/>
      <w:r w:rsidR="00B451E1" w:rsidRPr="001A3365">
        <w:rPr>
          <w:rFonts w:ascii="Times New Roman" w:hAnsi="Times New Roman" w:cs="Times New Roman"/>
          <w:sz w:val="28"/>
          <w:szCs w:val="28"/>
        </w:rPr>
        <w:t xml:space="preserve"> </w:t>
      </w:r>
      <w:proofErr w:type="spellStart"/>
      <w:r w:rsidR="00B451E1" w:rsidRPr="001A3365">
        <w:rPr>
          <w:rFonts w:ascii="Times New Roman" w:hAnsi="Times New Roman" w:cs="Times New Roman"/>
          <w:sz w:val="28"/>
          <w:szCs w:val="28"/>
        </w:rPr>
        <w:t>June</w:t>
      </w:r>
      <w:proofErr w:type="spellEnd"/>
      <w:r w:rsidR="00B451E1" w:rsidRPr="001A3365">
        <w:rPr>
          <w:rFonts w:ascii="Times New Roman" w:hAnsi="Times New Roman" w:cs="Times New Roman"/>
          <w:sz w:val="28"/>
          <w:szCs w:val="28"/>
        </w:rPr>
        <w:t xml:space="preserve"> 2017. – [Електронний ресурс]. – Режим доступу:</w:t>
      </w:r>
      <w:r w:rsidR="00B451E1" w:rsidRPr="001A3365">
        <w:t xml:space="preserve"> </w:t>
      </w:r>
      <w:r w:rsidR="00B451E1" w:rsidRPr="00B451E1">
        <w:rPr>
          <w:rFonts w:ascii="Times New Roman" w:hAnsi="Times New Roman" w:cs="Times New Roman"/>
          <w:sz w:val="28"/>
          <w:szCs w:val="28"/>
        </w:rPr>
        <w:t>http://opac.oireachtas.ie/AWData/Library3/Findocslaid120617_133424.pdf</w:t>
      </w:r>
    </w:p>
    <w:p w:rsidR="00B451E1" w:rsidRDefault="00B451E1" w:rsidP="00B451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spellStart"/>
      <w:r w:rsidRPr="001A3365">
        <w:rPr>
          <w:rFonts w:ascii="Times New Roman" w:hAnsi="Times New Roman" w:cs="Times New Roman"/>
          <w:sz w:val="28"/>
          <w:szCs w:val="28"/>
        </w:rPr>
        <w:t>Official</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website</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of</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World</w:t>
      </w:r>
      <w:proofErr w:type="spellEnd"/>
      <w:r w:rsidRPr="001A3365">
        <w:rPr>
          <w:rFonts w:ascii="Times New Roman" w:hAnsi="Times New Roman" w:cs="Times New Roman"/>
          <w:sz w:val="28"/>
          <w:szCs w:val="28"/>
        </w:rPr>
        <w:t xml:space="preserve"> </w:t>
      </w:r>
      <w:proofErr w:type="spellStart"/>
      <w:r w:rsidRPr="001A3365">
        <w:rPr>
          <w:rFonts w:ascii="Times New Roman" w:hAnsi="Times New Roman" w:cs="Times New Roman"/>
          <w:sz w:val="28"/>
          <w:szCs w:val="28"/>
        </w:rPr>
        <w:t>Bank</w:t>
      </w:r>
      <w:proofErr w:type="spellEnd"/>
      <w:r w:rsidRPr="001A3365">
        <w:rPr>
          <w:rFonts w:ascii="Times New Roman" w:hAnsi="Times New Roman" w:cs="Times New Roman"/>
          <w:sz w:val="28"/>
          <w:szCs w:val="28"/>
        </w:rPr>
        <w:t xml:space="preserve"> [Електронний ресурс]. – Режим доступу: </w:t>
      </w:r>
      <w:r w:rsidRPr="00B451E1">
        <w:rPr>
          <w:rFonts w:ascii="Times New Roman" w:hAnsi="Times New Roman" w:cs="Times New Roman"/>
          <w:sz w:val="28"/>
          <w:szCs w:val="28"/>
        </w:rPr>
        <w:t>http://www.worldbank.org</w:t>
      </w:r>
    </w:p>
    <w:p w:rsidR="00707589" w:rsidRDefault="00B451E1" w:rsidP="00B451E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17. Official website of UNKTAD </w:t>
      </w:r>
      <w:r w:rsidRPr="001A3365">
        <w:rPr>
          <w:rFonts w:ascii="Times New Roman" w:hAnsi="Times New Roman" w:cs="Times New Roman"/>
          <w:sz w:val="28"/>
          <w:szCs w:val="28"/>
        </w:rPr>
        <w:t>[Електронний ресурс]. – Режим доступу:</w:t>
      </w:r>
      <w:r>
        <w:rPr>
          <w:rFonts w:ascii="Times New Roman" w:hAnsi="Times New Roman" w:cs="Times New Roman"/>
          <w:sz w:val="28"/>
          <w:szCs w:val="28"/>
        </w:rPr>
        <w:t xml:space="preserve"> </w:t>
      </w:r>
      <w:r w:rsidRPr="00B451E1">
        <w:rPr>
          <w:rFonts w:ascii="Times New Roman" w:hAnsi="Times New Roman" w:cs="Times New Roman"/>
          <w:sz w:val="28"/>
          <w:szCs w:val="28"/>
          <w:lang w:val="en-US"/>
        </w:rPr>
        <w:t>http://unctad.org/en/Pages/DIAE/World%20Investment%20Report/World_Investment_Report.aspx</w:t>
      </w:r>
    </w:p>
    <w:p w:rsidR="00B451E1" w:rsidRPr="0091263B" w:rsidRDefault="00707589" w:rsidP="00707589">
      <w:pPr>
        <w:spacing w:line="360" w:lineRule="auto"/>
        <w:rPr>
          <w:rFonts w:ascii="Times New Roman" w:hAnsi="Times New Roman" w:cs="Times New Roman"/>
          <w:sz w:val="28"/>
          <w:szCs w:val="28"/>
          <w:lang w:val="ru-RU"/>
        </w:rPr>
      </w:pPr>
      <w:r w:rsidRPr="0091263B">
        <w:rPr>
          <w:rFonts w:ascii="Times New Roman" w:hAnsi="Times New Roman" w:cs="Times New Roman"/>
          <w:sz w:val="28"/>
          <w:szCs w:val="28"/>
          <w:lang w:val="ru-RU"/>
        </w:rPr>
        <w:t xml:space="preserve">18. </w:t>
      </w:r>
      <w:r w:rsidRPr="001A3365">
        <w:rPr>
          <w:rFonts w:ascii="Times New Roman" w:hAnsi="Times New Roman" w:cs="Times New Roman"/>
          <w:sz w:val="28"/>
          <w:szCs w:val="28"/>
        </w:rPr>
        <w:t>Офіційний сайт Міністерства фінансів України. – [Електронний ресурс]. – Режим доступу:</w:t>
      </w:r>
      <w:r w:rsidRPr="001A3365">
        <w:t xml:space="preserve"> </w:t>
      </w:r>
      <w:r w:rsidRPr="001A3365">
        <w:rPr>
          <w:rFonts w:ascii="Times New Roman" w:hAnsi="Times New Roman" w:cs="Times New Roman"/>
          <w:sz w:val="28"/>
          <w:szCs w:val="28"/>
        </w:rPr>
        <w:t xml:space="preserve"> http: // </w:t>
      </w:r>
      <w:proofErr w:type="spellStart"/>
      <w:r w:rsidRPr="00707589">
        <w:rPr>
          <w:rFonts w:ascii="Times New Roman" w:hAnsi="Times New Roman" w:cs="Times New Roman"/>
          <w:sz w:val="28"/>
          <w:szCs w:val="28"/>
        </w:rPr>
        <w:t>www.minfin.gov.ua</w:t>
      </w:r>
      <w:proofErr w:type="spellEnd"/>
    </w:p>
    <w:sectPr w:rsidR="00B451E1" w:rsidRPr="0091263B" w:rsidSect="00A84F4E">
      <w:headerReference w:type="default" r:id="rId16"/>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37" w:rsidRDefault="00D52B37" w:rsidP="000877F4">
      <w:r>
        <w:separator/>
      </w:r>
    </w:p>
  </w:endnote>
  <w:endnote w:type="continuationSeparator" w:id="0">
    <w:p w:rsidR="00D52B37" w:rsidRDefault="00D52B37" w:rsidP="0008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yriad Pro">
    <w:altName w:val="Myriad Pro"/>
    <w:panose1 w:val="00000000000000000000"/>
    <w:charset w:val="CC"/>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37" w:rsidRDefault="00D52B37" w:rsidP="000877F4">
      <w:r>
        <w:separator/>
      </w:r>
    </w:p>
  </w:footnote>
  <w:footnote w:type="continuationSeparator" w:id="0">
    <w:p w:rsidR="00D52B37" w:rsidRDefault="00D52B37" w:rsidP="0008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E1" w:rsidRDefault="00B451E1" w:rsidP="000877F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8D"/>
    <w:multiLevelType w:val="hybridMultilevel"/>
    <w:tmpl w:val="57607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E4441"/>
    <w:multiLevelType w:val="hybridMultilevel"/>
    <w:tmpl w:val="702E2B40"/>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0769"/>
    <w:multiLevelType w:val="hybridMultilevel"/>
    <w:tmpl w:val="F4BA1D22"/>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742F4"/>
    <w:multiLevelType w:val="hybridMultilevel"/>
    <w:tmpl w:val="89FADC38"/>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2709E"/>
    <w:multiLevelType w:val="hybridMultilevel"/>
    <w:tmpl w:val="65BA0DA8"/>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D725C"/>
    <w:multiLevelType w:val="hybridMultilevel"/>
    <w:tmpl w:val="FA66CE94"/>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80826"/>
    <w:multiLevelType w:val="hybridMultilevel"/>
    <w:tmpl w:val="96826506"/>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430BD"/>
    <w:multiLevelType w:val="hybridMultilevel"/>
    <w:tmpl w:val="1C985152"/>
    <w:lvl w:ilvl="0" w:tplc="22EAD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958A1"/>
    <w:multiLevelType w:val="hybridMultilevel"/>
    <w:tmpl w:val="B42A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A7"/>
    <w:rsid w:val="000140EA"/>
    <w:rsid w:val="00014319"/>
    <w:rsid w:val="000528E2"/>
    <w:rsid w:val="00055B03"/>
    <w:rsid w:val="00087709"/>
    <w:rsid w:val="000877F4"/>
    <w:rsid w:val="00097C49"/>
    <w:rsid w:val="000A7F5E"/>
    <w:rsid w:val="000D2653"/>
    <w:rsid w:val="00114955"/>
    <w:rsid w:val="00115C82"/>
    <w:rsid w:val="001620A7"/>
    <w:rsid w:val="00172436"/>
    <w:rsid w:val="00184221"/>
    <w:rsid w:val="00193E5A"/>
    <w:rsid w:val="001C2264"/>
    <w:rsid w:val="001C721A"/>
    <w:rsid w:val="00224BB8"/>
    <w:rsid w:val="00260672"/>
    <w:rsid w:val="00272808"/>
    <w:rsid w:val="00297E62"/>
    <w:rsid w:val="002F046E"/>
    <w:rsid w:val="003015A7"/>
    <w:rsid w:val="00301B05"/>
    <w:rsid w:val="003278D6"/>
    <w:rsid w:val="0034592A"/>
    <w:rsid w:val="00354C71"/>
    <w:rsid w:val="00365FB9"/>
    <w:rsid w:val="0037379A"/>
    <w:rsid w:val="00391820"/>
    <w:rsid w:val="003A29FA"/>
    <w:rsid w:val="003D5491"/>
    <w:rsid w:val="003E1EFE"/>
    <w:rsid w:val="003F1A7B"/>
    <w:rsid w:val="003F1B4E"/>
    <w:rsid w:val="00457FC5"/>
    <w:rsid w:val="004A7F03"/>
    <w:rsid w:val="004D4B5A"/>
    <w:rsid w:val="0051141C"/>
    <w:rsid w:val="005254DB"/>
    <w:rsid w:val="0053336F"/>
    <w:rsid w:val="00534418"/>
    <w:rsid w:val="0055377F"/>
    <w:rsid w:val="005610F8"/>
    <w:rsid w:val="00561FC1"/>
    <w:rsid w:val="00574A8E"/>
    <w:rsid w:val="00575DEB"/>
    <w:rsid w:val="0058629A"/>
    <w:rsid w:val="005F1488"/>
    <w:rsid w:val="00601F31"/>
    <w:rsid w:val="00615284"/>
    <w:rsid w:val="00620522"/>
    <w:rsid w:val="00630396"/>
    <w:rsid w:val="006327D8"/>
    <w:rsid w:val="00654F41"/>
    <w:rsid w:val="006B3109"/>
    <w:rsid w:val="006B7015"/>
    <w:rsid w:val="00707589"/>
    <w:rsid w:val="00714DC1"/>
    <w:rsid w:val="00734CE6"/>
    <w:rsid w:val="007539B7"/>
    <w:rsid w:val="007951C1"/>
    <w:rsid w:val="007A384C"/>
    <w:rsid w:val="007D3BB8"/>
    <w:rsid w:val="007E4C63"/>
    <w:rsid w:val="0080407D"/>
    <w:rsid w:val="00814EA6"/>
    <w:rsid w:val="00893913"/>
    <w:rsid w:val="008B21CB"/>
    <w:rsid w:val="008C58CB"/>
    <w:rsid w:val="008E6031"/>
    <w:rsid w:val="00912560"/>
    <w:rsid w:val="0091263B"/>
    <w:rsid w:val="00966922"/>
    <w:rsid w:val="009D7974"/>
    <w:rsid w:val="00A11F22"/>
    <w:rsid w:val="00A42375"/>
    <w:rsid w:val="00A45063"/>
    <w:rsid w:val="00A81CF5"/>
    <w:rsid w:val="00A84F4E"/>
    <w:rsid w:val="00A936AB"/>
    <w:rsid w:val="00AE30DE"/>
    <w:rsid w:val="00B00634"/>
    <w:rsid w:val="00B02813"/>
    <w:rsid w:val="00B451E1"/>
    <w:rsid w:val="00B71BAF"/>
    <w:rsid w:val="00B94C04"/>
    <w:rsid w:val="00C101B7"/>
    <w:rsid w:val="00C17D3C"/>
    <w:rsid w:val="00CA3F74"/>
    <w:rsid w:val="00CA4828"/>
    <w:rsid w:val="00CD01AA"/>
    <w:rsid w:val="00CE0801"/>
    <w:rsid w:val="00CF264F"/>
    <w:rsid w:val="00CF2E05"/>
    <w:rsid w:val="00D524B1"/>
    <w:rsid w:val="00D527FA"/>
    <w:rsid w:val="00D52B37"/>
    <w:rsid w:val="00D71EC5"/>
    <w:rsid w:val="00D93CC7"/>
    <w:rsid w:val="00D96352"/>
    <w:rsid w:val="00DD0D88"/>
    <w:rsid w:val="00E21640"/>
    <w:rsid w:val="00E30D1C"/>
    <w:rsid w:val="00E46827"/>
    <w:rsid w:val="00E73800"/>
    <w:rsid w:val="00E77D51"/>
    <w:rsid w:val="00E93C91"/>
    <w:rsid w:val="00EC6C33"/>
    <w:rsid w:val="00EE15B0"/>
    <w:rsid w:val="00FB7419"/>
    <w:rsid w:val="00FF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C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C58CB"/>
    <w:rPr>
      <w:rFonts w:ascii="Lucida Grande CY" w:hAnsi="Lucida Grande CY" w:cs="Lucida Grande CY"/>
      <w:sz w:val="18"/>
      <w:szCs w:val="18"/>
      <w:lang w:val="uk-UA"/>
    </w:rPr>
  </w:style>
  <w:style w:type="paragraph" w:styleId="a5">
    <w:name w:val="List Paragraph"/>
    <w:basedOn w:val="a"/>
    <w:uiPriority w:val="34"/>
    <w:qFormat/>
    <w:rsid w:val="00014319"/>
    <w:pPr>
      <w:ind w:left="720"/>
      <w:contextualSpacing/>
    </w:pPr>
  </w:style>
  <w:style w:type="paragraph" w:styleId="a6">
    <w:name w:val="Normal (Web)"/>
    <w:basedOn w:val="a"/>
    <w:link w:val="a7"/>
    <w:uiPriority w:val="99"/>
    <w:unhideWhenUsed/>
    <w:rsid w:val="00014319"/>
    <w:pPr>
      <w:spacing w:after="160" w:line="259" w:lineRule="auto"/>
    </w:pPr>
    <w:rPr>
      <w:rFonts w:ascii="Times New Roman" w:eastAsiaTheme="minorHAnsi" w:hAnsi="Times New Roman" w:cs="Times New Roman"/>
      <w:lang w:eastAsia="en-US"/>
    </w:rPr>
  </w:style>
  <w:style w:type="character" w:customStyle="1" w:styleId="a7">
    <w:name w:val="Обычный (веб) Знак"/>
    <w:link w:val="a6"/>
    <w:uiPriority w:val="99"/>
    <w:rsid w:val="00115C82"/>
    <w:rPr>
      <w:rFonts w:ascii="Times New Roman" w:eastAsiaTheme="minorHAnsi" w:hAnsi="Times New Roman" w:cs="Times New Roman"/>
      <w:lang w:val="uk-UA" w:eastAsia="en-US"/>
    </w:rPr>
  </w:style>
  <w:style w:type="table" w:styleId="a8">
    <w:name w:val="Table Grid"/>
    <w:basedOn w:val="a1"/>
    <w:uiPriority w:val="59"/>
    <w:rsid w:val="0011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E1EFE"/>
    <w:rPr>
      <w:color w:val="0000FF" w:themeColor="hyperlink"/>
      <w:u w:val="single"/>
    </w:rPr>
  </w:style>
  <w:style w:type="paragraph" w:styleId="aa">
    <w:name w:val="header"/>
    <w:basedOn w:val="a"/>
    <w:link w:val="ab"/>
    <w:uiPriority w:val="99"/>
    <w:unhideWhenUsed/>
    <w:rsid w:val="000877F4"/>
    <w:pPr>
      <w:tabs>
        <w:tab w:val="center" w:pos="4677"/>
        <w:tab w:val="right" w:pos="9355"/>
      </w:tabs>
    </w:pPr>
  </w:style>
  <w:style w:type="character" w:customStyle="1" w:styleId="ab">
    <w:name w:val="Верхний колонтитул Знак"/>
    <w:basedOn w:val="a0"/>
    <w:link w:val="aa"/>
    <w:uiPriority w:val="99"/>
    <w:rsid w:val="000877F4"/>
    <w:rPr>
      <w:lang w:val="uk-UA"/>
    </w:rPr>
  </w:style>
  <w:style w:type="paragraph" w:styleId="ac">
    <w:name w:val="footer"/>
    <w:basedOn w:val="a"/>
    <w:link w:val="ad"/>
    <w:uiPriority w:val="99"/>
    <w:unhideWhenUsed/>
    <w:rsid w:val="000877F4"/>
    <w:pPr>
      <w:tabs>
        <w:tab w:val="center" w:pos="4677"/>
        <w:tab w:val="right" w:pos="9355"/>
      </w:tabs>
    </w:pPr>
  </w:style>
  <w:style w:type="character" w:customStyle="1" w:styleId="ad">
    <w:name w:val="Нижний колонтитул Знак"/>
    <w:basedOn w:val="a0"/>
    <w:link w:val="ac"/>
    <w:uiPriority w:val="99"/>
    <w:rsid w:val="000877F4"/>
    <w:rPr>
      <w:lang w:val="uk-UA"/>
    </w:rPr>
  </w:style>
  <w:style w:type="character" w:styleId="ae">
    <w:name w:val="page number"/>
    <w:basedOn w:val="a0"/>
    <w:uiPriority w:val="99"/>
    <w:semiHidden/>
    <w:unhideWhenUsed/>
    <w:rsid w:val="000877F4"/>
  </w:style>
  <w:style w:type="paragraph" w:customStyle="1" w:styleId="Default">
    <w:name w:val="Default"/>
    <w:rsid w:val="00DD0D88"/>
    <w:pPr>
      <w:autoSpaceDE w:val="0"/>
      <w:autoSpaceDN w:val="0"/>
      <w:adjustRightInd w:val="0"/>
    </w:pPr>
    <w:rPr>
      <w:rFonts w:ascii="Arial" w:hAnsi="Arial" w:cs="Arial"/>
      <w:color w:val="000000"/>
    </w:rPr>
  </w:style>
  <w:style w:type="paragraph" w:customStyle="1" w:styleId="Pa22">
    <w:name w:val="Pa22"/>
    <w:basedOn w:val="Default"/>
    <w:next w:val="Default"/>
    <w:uiPriority w:val="99"/>
    <w:rsid w:val="00DD0D88"/>
    <w:pPr>
      <w:spacing w:line="201" w:lineRule="atLeast"/>
    </w:pPr>
    <w:rPr>
      <w:color w:val="auto"/>
    </w:rPr>
  </w:style>
  <w:style w:type="paragraph" w:customStyle="1" w:styleId="Pa23">
    <w:name w:val="Pa23"/>
    <w:basedOn w:val="Default"/>
    <w:next w:val="Default"/>
    <w:uiPriority w:val="99"/>
    <w:rsid w:val="00DD0D88"/>
    <w:pPr>
      <w:spacing w:line="191" w:lineRule="atLeast"/>
    </w:pPr>
    <w:rPr>
      <w:color w:val="auto"/>
    </w:rPr>
  </w:style>
  <w:style w:type="paragraph" w:customStyle="1" w:styleId="Pa27">
    <w:name w:val="Pa27"/>
    <w:basedOn w:val="Default"/>
    <w:next w:val="Default"/>
    <w:uiPriority w:val="99"/>
    <w:rsid w:val="00CD01AA"/>
    <w:pPr>
      <w:spacing w:line="191" w:lineRule="atLeast"/>
    </w:pPr>
    <w:rPr>
      <w:rFonts w:ascii="Myriad Pro" w:hAnsi="Myriad Pro" w:cstheme="minorBidi"/>
      <w:color w:val="auto"/>
    </w:rPr>
  </w:style>
  <w:style w:type="paragraph" w:customStyle="1" w:styleId="Pa0">
    <w:name w:val="Pa0"/>
    <w:basedOn w:val="Default"/>
    <w:next w:val="Default"/>
    <w:uiPriority w:val="99"/>
    <w:rsid w:val="00CD01AA"/>
    <w:pPr>
      <w:spacing w:line="241" w:lineRule="atLeast"/>
    </w:pPr>
    <w:rPr>
      <w:rFonts w:ascii="Myriad Pro" w:hAnsi="Myriad Pro" w:cstheme="minorBidi"/>
      <w:color w:val="auto"/>
    </w:rPr>
  </w:style>
  <w:style w:type="character" w:customStyle="1" w:styleId="A40">
    <w:name w:val="A4"/>
    <w:uiPriority w:val="99"/>
    <w:rsid w:val="00CD01AA"/>
    <w:rPr>
      <w:rFonts w:cs="Myriad Pro"/>
      <w:color w:val="221E1F"/>
      <w:sz w:val="16"/>
      <w:szCs w:val="16"/>
    </w:rPr>
  </w:style>
  <w:style w:type="character" w:customStyle="1" w:styleId="hps">
    <w:name w:val="hps"/>
    <w:basedOn w:val="a0"/>
    <w:rsid w:val="007951C1"/>
  </w:style>
  <w:style w:type="character" w:styleId="af">
    <w:name w:val="FollowedHyperlink"/>
    <w:basedOn w:val="a0"/>
    <w:uiPriority w:val="99"/>
    <w:semiHidden/>
    <w:unhideWhenUsed/>
    <w:rsid w:val="00575DEB"/>
    <w:rPr>
      <w:color w:val="800080" w:themeColor="followedHyperlink"/>
      <w:u w:val="single"/>
    </w:rPr>
  </w:style>
  <w:style w:type="character" w:customStyle="1" w:styleId="fs-journal-icv-ibox-title1">
    <w:name w:val="fs-journal-icv-ibox-title1"/>
    <w:basedOn w:val="a0"/>
    <w:rsid w:val="005610F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C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C58CB"/>
    <w:rPr>
      <w:rFonts w:ascii="Lucida Grande CY" w:hAnsi="Lucida Grande CY" w:cs="Lucida Grande CY"/>
      <w:sz w:val="18"/>
      <w:szCs w:val="18"/>
      <w:lang w:val="uk-UA"/>
    </w:rPr>
  </w:style>
  <w:style w:type="paragraph" w:styleId="a5">
    <w:name w:val="List Paragraph"/>
    <w:basedOn w:val="a"/>
    <w:uiPriority w:val="34"/>
    <w:qFormat/>
    <w:rsid w:val="00014319"/>
    <w:pPr>
      <w:ind w:left="720"/>
      <w:contextualSpacing/>
    </w:pPr>
  </w:style>
  <w:style w:type="paragraph" w:styleId="a6">
    <w:name w:val="Normal (Web)"/>
    <w:basedOn w:val="a"/>
    <w:link w:val="a7"/>
    <w:uiPriority w:val="99"/>
    <w:unhideWhenUsed/>
    <w:rsid w:val="00014319"/>
    <w:pPr>
      <w:spacing w:after="160" w:line="259" w:lineRule="auto"/>
    </w:pPr>
    <w:rPr>
      <w:rFonts w:ascii="Times New Roman" w:eastAsiaTheme="minorHAnsi" w:hAnsi="Times New Roman" w:cs="Times New Roman"/>
      <w:lang w:eastAsia="en-US"/>
    </w:rPr>
  </w:style>
  <w:style w:type="character" w:customStyle="1" w:styleId="a7">
    <w:name w:val="Обычный (веб) Знак"/>
    <w:link w:val="a6"/>
    <w:uiPriority w:val="99"/>
    <w:rsid w:val="00115C82"/>
    <w:rPr>
      <w:rFonts w:ascii="Times New Roman" w:eastAsiaTheme="minorHAnsi" w:hAnsi="Times New Roman" w:cs="Times New Roman"/>
      <w:lang w:val="uk-UA" w:eastAsia="en-US"/>
    </w:rPr>
  </w:style>
  <w:style w:type="table" w:styleId="a8">
    <w:name w:val="Table Grid"/>
    <w:basedOn w:val="a1"/>
    <w:uiPriority w:val="59"/>
    <w:rsid w:val="0011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E1EFE"/>
    <w:rPr>
      <w:color w:val="0000FF" w:themeColor="hyperlink"/>
      <w:u w:val="single"/>
    </w:rPr>
  </w:style>
  <w:style w:type="paragraph" w:styleId="aa">
    <w:name w:val="header"/>
    <w:basedOn w:val="a"/>
    <w:link w:val="ab"/>
    <w:uiPriority w:val="99"/>
    <w:unhideWhenUsed/>
    <w:rsid w:val="000877F4"/>
    <w:pPr>
      <w:tabs>
        <w:tab w:val="center" w:pos="4677"/>
        <w:tab w:val="right" w:pos="9355"/>
      </w:tabs>
    </w:pPr>
  </w:style>
  <w:style w:type="character" w:customStyle="1" w:styleId="ab">
    <w:name w:val="Верхний колонтитул Знак"/>
    <w:basedOn w:val="a0"/>
    <w:link w:val="aa"/>
    <w:uiPriority w:val="99"/>
    <w:rsid w:val="000877F4"/>
    <w:rPr>
      <w:lang w:val="uk-UA"/>
    </w:rPr>
  </w:style>
  <w:style w:type="paragraph" w:styleId="ac">
    <w:name w:val="footer"/>
    <w:basedOn w:val="a"/>
    <w:link w:val="ad"/>
    <w:uiPriority w:val="99"/>
    <w:unhideWhenUsed/>
    <w:rsid w:val="000877F4"/>
    <w:pPr>
      <w:tabs>
        <w:tab w:val="center" w:pos="4677"/>
        <w:tab w:val="right" w:pos="9355"/>
      </w:tabs>
    </w:pPr>
  </w:style>
  <w:style w:type="character" w:customStyle="1" w:styleId="ad">
    <w:name w:val="Нижний колонтитул Знак"/>
    <w:basedOn w:val="a0"/>
    <w:link w:val="ac"/>
    <w:uiPriority w:val="99"/>
    <w:rsid w:val="000877F4"/>
    <w:rPr>
      <w:lang w:val="uk-UA"/>
    </w:rPr>
  </w:style>
  <w:style w:type="character" w:styleId="ae">
    <w:name w:val="page number"/>
    <w:basedOn w:val="a0"/>
    <w:uiPriority w:val="99"/>
    <w:semiHidden/>
    <w:unhideWhenUsed/>
    <w:rsid w:val="000877F4"/>
  </w:style>
  <w:style w:type="paragraph" w:customStyle="1" w:styleId="Default">
    <w:name w:val="Default"/>
    <w:rsid w:val="00DD0D88"/>
    <w:pPr>
      <w:autoSpaceDE w:val="0"/>
      <w:autoSpaceDN w:val="0"/>
      <w:adjustRightInd w:val="0"/>
    </w:pPr>
    <w:rPr>
      <w:rFonts w:ascii="Arial" w:hAnsi="Arial" w:cs="Arial"/>
      <w:color w:val="000000"/>
    </w:rPr>
  </w:style>
  <w:style w:type="paragraph" w:customStyle="1" w:styleId="Pa22">
    <w:name w:val="Pa22"/>
    <w:basedOn w:val="Default"/>
    <w:next w:val="Default"/>
    <w:uiPriority w:val="99"/>
    <w:rsid w:val="00DD0D88"/>
    <w:pPr>
      <w:spacing w:line="201" w:lineRule="atLeast"/>
    </w:pPr>
    <w:rPr>
      <w:color w:val="auto"/>
    </w:rPr>
  </w:style>
  <w:style w:type="paragraph" w:customStyle="1" w:styleId="Pa23">
    <w:name w:val="Pa23"/>
    <w:basedOn w:val="Default"/>
    <w:next w:val="Default"/>
    <w:uiPriority w:val="99"/>
    <w:rsid w:val="00DD0D88"/>
    <w:pPr>
      <w:spacing w:line="191" w:lineRule="atLeast"/>
    </w:pPr>
    <w:rPr>
      <w:color w:val="auto"/>
    </w:rPr>
  </w:style>
  <w:style w:type="paragraph" w:customStyle="1" w:styleId="Pa27">
    <w:name w:val="Pa27"/>
    <w:basedOn w:val="Default"/>
    <w:next w:val="Default"/>
    <w:uiPriority w:val="99"/>
    <w:rsid w:val="00CD01AA"/>
    <w:pPr>
      <w:spacing w:line="191" w:lineRule="atLeast"/>
    </w:pPr>
    <w:rPr>
      <w:rFonts w:ascii="Myriad Pro" w:hAnsi="Myriad Pro" w:cstheme="minorBidi"/>
      <w:color w:val="auto"/>
    </w:rPr>
  </w:style>
  <w:style w:type="paragraph" w:customStyle="1" w:styleId="Pa0">
    <w:name w:val="Pa0"/>
    <w:basedOn w:val="Default"/>
    <w:next w:val="Default"/>
    <w:uiPriority w:val="99"/>
    <w:rsid w:val="00CD01AA"/>
    <w:pPr>
      <w:spacing w:line="241" w:lineRule="atLeast"/>
    </w:pPr>
    <w:rPr>
      <w:rFonts w:ascii="Myriad Pro" w:hAnsi="Myriad Pro" w:cstheme="minorBidi"/>
      <w:color w:val="auto"/>
    </w:rPr>
  </w:style>
  <w:style w:type="character" w:customStyle="1" w:styleId="A40">
    <w:name w:val="A4"/>
    <w:uiPriority w:val="99"/>
    <w:rsid w:val="00CD01AA"/>
    <w:rPr>
      <w:rFonts w:cs="Myriad Pro"/>
      <w:color w:val="221E1F"/>
      <w:sz w:val="16"/>
      <w:szCs w:val="16"/>
    </w:rPr>
  </w:style>
  <w:style w:type="character" w:customStyle="1" w:styleId="hps">
    <w:name w:val="hps"/>
    <w:basedOn w:val="a0"/>
    <w:rsid w:val="007951C1"/>
  </w:style>
  <w:style w:type="character" w:styleId="af">
    <w:name w:val="FollowedHyperlink"/>
    <w:basedOn w:val="a0"/>
    <w:uiPriority w:val="99"/>
    <w:semiHidden/>
    <w:unhideWhenUsed/>
    <w:rsid w:val="00575DEB"/>
    <w:rPr>
      <w:color w:val="800080" w:themeColor="followedHyperlink"/>
      <w:u w:val="single"/>
    </w:rPr>
  </w:style>
  <w:style w:type="character" w:customStyle="1" w:styleId="fs-journal-icv-ibox-title1">
    <w:name w:val="fs-journal-icv-ibox-title1"/>
    <w:basedOn w:val="a0"/>
    <w:rsid w:val="005610F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4458">
      <w:bodyDiv w:val="1"/>
      <w:marLeft w:val="0"/>
      <w:marRight w:val="0"/>
      <w:marTop w:val="0"/>
      <w:marBottom w:val="0"/>
      <w:divBdr>
        <w:top w:val="none" w:sz="0" w:space="0" w:color="auto"/>
        <w:left w:val="none" w:sz="0" w:space="0" w:color="auto"/>
        <w:bottom w:val="none" w:sz="0" w:space="0" w:color="auto"/>
        <w:right w:val="none" w:sz="0" w:space="0" w:color="auto"/>
      </w:divBdr>
    </w:div>
    <w:div w:id="1790397556">
      <w:bodyDiv w:val="1"/>
      <w:marLeft w:val="0"/>
      <w:marRight w:val="0"/>
      <w:marTop w:val="0"/>
      <w:marBottom w:val="0"/>
      <w:divBdr>
        <w:top w:val="none" w:sz="0" w:space="0" w:color="auto"/>
        <w:left w:val="none" w:sz="0" w:space="0" w:color="auto"/>
        <w:bottom w:val="none" w:sz="0" w:space="0" w:color="auto"/>
        <w:right w:val="none" w:sz="0" w:space="0" w:color="auto"/>
      </w:divBdr>
    </w:div>
    <w:div w:id="1839928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com:Desktop:&#1050;&#1085;&#1080;&#1075;&#1072;1%20(&#1074;&#1077;&#1088;&#1089;&#1080;&#1103;%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com:Desktop:&#1048;&#1088;&#1083;&#1072;&#1085;&#1076;&#1080;&#1103;%20-%20&#1042;&#1072;&#1083;&#1086;&#1074;&#1086;&#1080;&#774;%20&#1074;&#1085;&#1091;&#1090;&#1088;&#1077;&#1085;&#1085;&#1080;&#1080;&#774;%20&#1087;&#1088;&#1086;&#1076;&#1091;&#1082;&#1090;%20(&#1074;&#1077;&#1088;&#1089;&#1080;&#1103;%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icom:Desktop:&#1092;&#1088;&#1072;&#1085;&#1094;&#111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icom:Desktop:&#1048;&#1088;&#1083;&#1072;&#1085;&#1076;&#1080;&#1103;%20-%20&#1042;&#1072;&#1083;&#1086;&#1074;&#1086;&#1080;&#774;%20&#1074;&#1085;&#1091;&#1090;&#1088;&#1077;&#1085;&#1085;&#1080;&#1080;&#774;%20&#1087;&#1088;&#1086;&#1076;&#1091;&#1082;&#1090;%20(&#1074;&#1077;&#1088;&#1089;&#1080;&#1103;%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icom:Desktop:&#1048;&#1088;&#1083;&#1072;&#1085;&#1076;&#1080;&#1103;%20-%20&#1042;&#1072;&#1083;&#1086;&#1074;&#1086;&#1080;&#774;%20&#1074;&#1085;&#1091;&#1090;&#1088;&#1077;&#1085;&#1085;&#1080;&#1080;&#774;%20&#1087;&#1088;&#1086;&#1076;&#1091;&#1082;&#1090;%20(&#1074;&#1077;&#1088;&#1089;&#1080;&#1103;%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icom:Desktop:&#1048;&#1088;&#1083;&#1072;&#1085;&#1076;&#1080;&#1103;%20-%20&#1042;&#1072;&#1083;&#1086;&#1074;&#1086;&#1081;%20&#1074;&#1085;&#1091;&#1090;&#1088;&#1077;&#1085;&#1085;&#1080;&#1081;%20&#1087;&#1088;&#1086;&#1076;&#1091;&#1082;&#1090;%20(&#1074;&#1077;&#1088;&#1089;&#1080;&#1103;%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icom:Desktop:&#1048;&#1088;&#1083;&#1072;&#1085;&#1076;&#1080;&#1103;%20-%20&#1042;&#1072;&#1083;&#1086;&#1074;&#1086;&#1081;%20&#1074;&#1085;&#1091;&#1090;&#1088;&#1077;&#1085;&#1085;&#1080;&#1081;%20&#1087;&#1088;&#1086;&#1076;&#1091;&#1082;&#1090;%20(&#1074;&#1077;&#1088;&#1089;&#1080;&#1103;%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txPr>
              <a:bodyPr/>
              <a:lstStyle/>
              <a:p>
                <a:pPr>
                  <a:defRPr sz="1200" b="1">
                    <a:latin typeface="Times New Roman"/>
                    <a:cs typeface="Times New Roman"/>
                  </a:defRPr>
                </a:pPr>
                <a:endParaRPr lang="ru-RU"/>
              </a:p>
            </c:txPr>
            <c:showLegendKey val="0"/>
            <c:showVal val="1"/>
            <c:showCatName val="0"/>
            <c:showSerName val="0"/>
            <c:showPercent val="0"/>
            <c:showBubbleSize val="0"/>
            <c:showLeaderLines val="0"/>
          </c:dLbls>
          <c:cat>
            <c:strRef>
              <c:f>Лист1!$A$1:$A$20</c:f>
              <c:strCache>
                <c:ptCount val="20"/>
                <c:pt idx="0">
                  <c:v>Японія</c:v>
                </c:pt>
                <c:pt idx="1">
                  <c:v>Греція</c:v>
                </c:pt>
                <c:pt idx="2">
                  <c:v>Італія</c:v>
                </c:pt>
                <c:pt idx="3">
                  <c:v>Ямайка</c:v>
                </c:pt>
                <c:pt idx="4">
                  <c:v>Ліван</c:v>
                </c:pt>
                <c:pt idx="5">
                  <c:v>Еритрея</c:v>
                </c:pt>
                <c:pt idx="6">
                  <c:v>Португалія</c:v>
                </c:pt>
                <c:pt idx="7">
                  <c:v>Кабо Верде</c:v>
                </c:pt>
                <c:pt idx="8">
                  <c:v>Бутан</c:v>
                </c:pt>
                <c:pt idx="9">
                  <c:v>Ірландія</c:v>
                </c:pt>
                <c:pt idx="10">
                  <c:v>Гренада</c:v>
                </c:pt>
                <c:pt idx="11">
                  <c:v>Антігуа і Барбуда</c:v>
                </c:pt>
                <c:pt idx="12">
                  <c:v>Бельгія</c:v>
                </c:pt>
                <c:pt idx="13">
                  <c:v>Кіпр</c:v>
                </c:pt>
                <c:pt idx="14">
                  <c:v>США</c:v>
                </c:pt>
                <c:pt idx="15">
                  <c:v>Барбадос</c:v>
                </c:pt>
                <c:pt idx="16">
                  <c:v>Гамбія</c:v>
                </c:pt>
                <c:pt idx="17">
                  <c:v>Іспанія</c:v>
                </c:pt>
                <c:pt idx="18">
                  <c:v>Сінгапур</c:v>
                </c:pt>
                <c:pt idx="19">
                  <c:v>Франція</c:v>
                </c:pt>
              </c:strCache>
            </c:strRef>
          </c:cat>
          <c:val>
            <c:numRef>
              <c:f>Лист1!$B$1:$B$20</c:f>
              <c:numCache>
                <c:formatCode>General</c:formatCode>
                <c:ptCount val="20"/>
                <c:pt idx="0">
                  <c:v>246.14</c:v>
                </c:pt>
                <c:pt idx="1">
                  <c:v>172.73</c:v>
                </c:pt>
                <c:pt idx="2">
                  <c:v>133.76</c:v>
                </c:pt>
                <c:pt idx="3">
                  <c:v>132.82000000000042</c:v>
                </c:pt>
                <c:pt idx="4">
                  <c:v>131.82000000000042</c:v>
                </c:pt>
                <c:pt idx="5">
                  <c:v>129.23999999999998</c:v>
                </c:pt>
                <c:pt idx="6">
                  <c:v>126.35</c:v>
                </c:pt>
                <c:pt idx="7">
                  <c:v>121.08</c:v>
                </c:pt>
                <c:pt idx="8">
                  <c:v>115.89</c:v>
                </c:pt>
                <c:pt idx="9">
                  <c:v>107.75</c:v>
                </c:pt>
                <c:pt idx="10">
                  <c:v>107.11</c:v>
                </c:pt>
                <c:pt idx="11">
                  <c:v>106.91000000000012</c:v>
                </c:pt>
                <c:pt idx="12">
                  <c:v>106.57</c:v>
                </c:pt>
                <c:pt idx="13">
                  <c:v>105.66999999999999</c:v>
                </c:pt>
                <c:pt idx="14">
                  <c:v>105.06</c:v>
                </c:pt>
                <c:pt idx="15">
                  <c:v>102.51</c:v>
                </c:pt>
                <c:pt idx="16">
                  <c:v>100</c:v>
                </c:pt>
                <c:pt idx="17">
                  <c:v>99.440000000000026</c:v>
                </c:pt>
                <c:pt idx="18">
                  <c:v>97.77</c:v>
                </c:pt>
                <c:pt idx="19">
                  <c:v>97.01</c:v>
                </c:pt>
              </c:numCache>
            </c:numRef>
          </c:val>
        </c:ser>
        <c:dLbls>
          <c:showLegendKey val="0"/>
          <c:showVal val="0"/>
          <c:showCatName val="0"/>
          <c:showSerName val="0"/>
          <c:showPercent val="0"/>
          <c:showBubbleSize val="0"/>
        </c:dLbls>
        <c:gapWidth val="150"/>
        <c:axId val="106973440"/>
        <c:axId val="106975232"/>
      </c:barChart>
      <c:catAx>
        <c:axId val="106973440"/>
        <c:scaling>
          <c:orientation val="minMax"/>
        </c:scaling>
        <c:delete val="0"/>
        <c:axPos val="l"/>
        <c:majorTickMark val="out"/>
        <c:minorTickMark val="none"/>
        <c:tickLblPos val="nextTo"/>
        <c:txPr>
          <a:bodyPr/>
          <a:lstStyle/>
          <a:p>
            <a:pPr>
              <a:defRPr sz="1200">
                <a:latin typeface="Times New Roman"/>
                <a:cs typeface="Times New Roman"/>
              </a:defRPr>
            </a:pPr>
            <a:endParaRPr lang="ru-RU"/>
          </a:p>
        </c:txPr>
        <c:crossAx val="106975232"/>
        <c:crosses val="autoZero"/>
        <c:auto val="1"/>
        <c:lblAlgn val="ctr"/>
        <c:lblOffset val="100"/>
        <c:noMultiLvlLbl val="0"/>
      </c:catAx>
      <c:valAx>
        <c:axId val="106975232"/>
        <c:scaling>
          <c:orientation val="minMax"/>
        </c:scaling>
        <c:delete val="0"/>
        <c:axPos val="b"/>
        <c:numFmt formatCode="General" sourceLinked="1"/>
        <c:majorTickMark val="out"/>
        <c:minorTickMark val="none"/>
        <c:tickLblPos val="nextTo"/>
        <c:txPr>
          <a:bodyPr/>
          <a:lstStyle/>
          <a:p>
            <a:pPr>
              <a:defRPr sz="1200">
                <a:latin typeface="Times New Roman"/>
                <a:cs typeface="Times New Roman"/>
              </a:defRPr>
            </a:pPr>
            <a:endParaRPr lang="ru-RU"/>
          </a:p>
        </c:txPr>
        <c:crossAx val="106973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dLbls>
            <c:dLbl>
              <c:idx val="1"/>
              <c:layout>
                <c:manualLayout>
                  <c:x val="-1.3911430558775801E-2"/>
                  <c:y val="4.8285852245292013E-2"/>
                </c:manualLayout>
              </c:layout>
              <c:showLegendKey val="0"/>
              <c:showVal val="1"/>
              <c:showCatName val="0"/>
              <c:showSerName val="0"/>
              <c:showPercent val="0"/>
              <c:showBubbleSize val="0"/>
            </c:dLbl>
            <c:dLbl>
              <c:idx val="2"/>
              <c:layout>
                <c:manualLayout>
                  <c:x val="-2.7822861117551605E-2"/>
                  <c:y val="4.8285852245292013E-2"/>
                </c:manualLayout>
              </c:layout>
              <c:showLegendKey val="0"/>
              <c:showVal val="1"/>
              <c:showCatName val="0"/>
              <c:showSerName val="0"/>
              <c:showPercent val="0"/>
              <c:showBubbleSize val="0"/>
            </c:dLbl>
            <c:dLbl>
              <c:idx val="3"/>
              <c:layout>
                <c:manualLayout>
                  <c:x val="-0.20831290130004301"/>
                  <c:y val="-8.1626282711764045E-2"/>
                </c:manualLayout>
              </c:layout>
              <c:showLegendKey val="0"/>
              <c:showVal val="1"/>
              <c:showCatName val="0"/>
              <c:showSerName val="0"/>
              <c:showPercent val="0"/>
              <c:showBubbleSize val="0"/>
            </c:dLbl>
            <c:dLbl>
              <c:idx val="4"/>
              <c:layout>
                <c:manualLayout>
                  <c:x val="-9.7380013911430488E-2"/>
                  <c:y val="-4.9450035549032934E-2"/>
                </c:manualLayout>
              </c:layout>
              <c:showLegendKey val="0"/>
              <c:showVal val="1"/>
              <c:showCatName val="0"/>
              <c:showSerName val="0"/>
              <c:showPercent val="0"/>
              <c:showBubbleSize val="0"/>
            </c:dLbl>
            <c:dLbl>
              <c:idx val="5"/>
              <c:layout>
                <c:manualLayout>
                  <c:x val="-0.107717557795422"/>
                  <c:y val="4.1344856035921612E-2"/>
                </c:manualLayout>
              </c:layout>
              <c:showLegendKey val="0"/>
              <c:showVal val="1"/>
              <c:showCatName val="0"/>
              <c:showSerName val="0"/>
              <c:showPercent val="0"/>
              <c:showBubbleSize val="0"/>
            </c:dLbl>
            <c:dLbl>
              <c:idx val="6"/>
              <c:layout>
                <c:manualLayout>
                  <c:x val="-7.9189996914656599E-2"/>
                  <c:y val="5.8790876635350604E-2"/>
                </c:manualLayout>
              </c:layout>
              <c:showLegendKey val="0"/>
              <c:showVal val="1"/>
              <c:showCatName val="0"/>
              <c:showSerName val="0"/>
              <c:showPercent val="0"/>
              <c:showBubbleSize val="0"/>
            </c:dLbl>
            <c:dLbl>
              <c:idx val="7"/>
              <c:layout>
                <c:manualLayout>
                  <c:x val="-9.2742870391840648E-3"/>
                  <c:y val="-4.345726702076292E-2"/>
                </c:manualLayout>
              </c:layout>
              <c:showLegendKey val="0"/>
              <c:showVal val="1"/>
              <c:showCatName val="0"/>
              <c:showSerName val="0"/>
              <c:showPercent val="0"/>
              <c:showBubbleSize val="0"/>
            </c:dLbl>
            <c:txPr>
              <a:bodyPr/>
              <a:lstStyle/>
              <a:p>
                <a:pPr>
                  <a:defRPr sz="1200" b="1">
                    <a:latin typeface="Times New Roman"/>
                    <a:cs typeface="Times New Roman"/>
                  </a:defRPr>
                </a:pPr>
                <a:endParaRPr lang="ru-RU"/>
              </a:p>
            </c:txPr>
            <c:showLegendKey val="0"/>
            <c:showVal val="1"/>
            <c:showCatName val="0"/>
            <c:showSerName val="0"/>
            <c:showPercent val="0"/>
            <c:showBubbleSize val="0"/>
            <c:showLeaderLines val="0"/>
          </c:dLbls>
          <c:cat>
            <c:numRef>
              <c:f>Лист1!$A$1:$A$8</c:f>
              <c:numCache>
                <c:formatCode>@</c:formatCode>
                <c:ptCount val="8"/>
                <c:pt idx="0">
                  <c:v>2010</c:v>
                </c:pt>
                <c:pt idx="1">
                  <c:v>2011</c:v>
                </c:pt>
                <c:pt idx="2">
                  <c:v>2012</c:v>
                </c:pt>
                <c:pt idx="3">
                  <c:v>2013</c:v>
                </c:pt>
                <c:pt idx="4">
                  <c:v>2014</c:v>
                </c:pt>
                <c:pt idx="5">
                  <c:v>2015</c:v>
                </c:pt>
                <c:pt idx="6">
                  <c:v>2016</c:v>
                </c:pt>
                <c:pt idx="7">
                  <c:v>2017</c:v>
                </c:pt>
              </c:numCache>
            </c:numRef>
          </c:cat>
          <c:val>
            <c:numRef>
              <c:f>Лист1!$B$1:$B$8</c:f>
              <c:numCache>
                <c:formatCode>@</c:formatCode>
                <c:ptCount val="8"/>
                <c:pt idx="0">
                  <c:v>215.9</c:v>
                </c:pt>
                <c:pt idx="1">
                  <c:v>230.6</c:v>
                </c:pt>
                <c:pt idx="2">
                  <c:v>236.6</c:v>
                </c:pt>
                <c:pt idx="3">
                  <c:v>240.5</c:v>
                </c:pt>
                <c:pt idx="4">
                  <c:v>242.1</c:v>
                </c:pt>
                <c:pt idx="5">
                  <c:v>238.1</c:v>
                </c:pt>
                <c:pt idx="6">
                  <c:v>239.3</c:v>
                </c:pt>
                <c:pt idx="7">
                  <c:v>240.3</c:v>
                </c:pt>
              </c:numCache>
            </c:numRef>
          </c:val>
          <c:smooth val="0"/>
        </c:ser>
        <c:dLbls>
          <c:showLegendKey val="0"/>
          <c:showVal val="0"/>
          <c:showCatName val="0"/>
          <c:showSerName val="0"/>
          <c:showPercent val="0"/>
          <c:showBubbleSize val="0"/>
        </c:dLbls>
        <c:marker val="1"/>
        <c:smooth val="0"/>
        <c:axId val="106986880"/>
        <c:axId val="106992768"/>
      </c:lineChart>
      <c:catAx>
        <c:axId val="106986880"/>
        <c:scaling>
          <c:orientation val="minMax"/>
        </c:scaling>
        <c:delete val="0"/>
        <c:axPos val="b"/>
        <c:numFmt formatCode="@" sourceLinked="1"/>
        <c:majorTickMark val="out"/>
        <c:minorTickMark val="none"/>
        <c:tickLblPos val="nextTo"/>
        <c:spPr>
          <a:ln>
            <a:solidFill>
              <a:srgbClr val="000000"/>
            </a:solidFill>
          </a:ln>
        </c:spPr>
        <c:txPr>
          <a:bodyPr/>
          <a:lstStyle/>
          <a:p>
            <a:pPr>
              <a:defRPr sz="1200">
                <a:latin typeface="Times New Roman"/>
                <a:cs typeface="Times New Roman"/>
              </a:defRPr>
            </a:pPr>
            <a:endParaRPr lang="ru-RU"/>
          </a:p>
        </c:txPr>
        <c:crossAx val="106992768"/>
        <c:crosses val="autoZero"/>
        <c:auto val="1"/>
        <c:lblAlgn val="ctr"/>
        <c:lblOffset val="100"/>
        <c:noMultiLvlLbl val="0"/>
      </c:catAx>
      <c:valAx>
        <c:axId val="106992768"/>
        <c:scaling>
          <c:orientation val="minMax"/>
          <c:min val="210"/>
        </c:scaling>
        <c:delete val="0"/>
        <c:axPos val="l"/>
        <c:numFmt formatCode="@" sourceLinked="1"/>
        <c:majorTickMark val="out"/>
        <c:minorTickMark val="none"/>
        <c:tickLblPos val="nextTo"/>
        <c:spPr>
          <a:ln>
            <a:solidFill>
              <a:schemeClr val="tx1"/>
            </a:solidFill>
          </a:ln>
        </c:spPr>
        <c:txPr>
          <a:bodyPr/>
          <a:lstStyle/>
          <a:p>
            <a:pPr>
              <a:defRPr sz="1200">
                <a:latin typeface="Times New Roman"/>
                <a:cs typeface="Times New Roman"/>
              </a:defRPr>
            </a:pPr>
            <a:endParaRPr lang="ru-RU"/>
          </a:p>
        </c:txPr>
        <c:crossAx val="1069868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dLbls>
            <c:dLbl>
              <c:idx val="1"/>
              <c:layout>
                <c:manualLayout>
                  <c:x val="-5.359056806002141E-2"/>
                  <c:y val="1.9694731659281033E-2"/>
                </c:manualLayout>
              </c:layout>
              <c:showLegendKey val="0"/>
              <c:showVal val="1"/>
              <c:showCatName val="0"/>
              <c:showSerName val="0"/>
              <c:showPercent val="0"/>
              <c:showBubbleSize val="0"/>
            </c:dLbl>
            <c:dLbl>
              <c:idx val="2"/>
              <c:layout>
                <c:manualLayout>
                  <c:x val="-5.3590568060021507E-2"/>
                  <c:y val="2.461841457410141E-2"/>
                </c:manualLayout>
              </c:layout>
              <c:showLegendKey val="0"/>
              <c:showVal val="1"/>
              <c:showCatName val="0"/>
              <c:showSerName val="0"/>
              <c:showPercent val="0"/>
              <c:showBubbleSize val="0"/>
            </c:dLbl>
            <c:dLbl>
              <c:idx val="3"/>
              <c:layout>
                <c:manualLayout>
                  <c:x val="-5.8949624866023592E-2"/>
                  <c:y val="5.4160512063023102E-2"/>
                </c:manualLayout>
              </c:layout>
              <c:showLegendKey val="0"/>
              <c:showVal val="1"/>
              <c:showCatName val="0"/>
              <c:showSerName val="0"/>
              <c:showPercent val="0"/>
              <c:showBubbleSize val="0"/>
            </c:dLbl>
            <c:dLbl>
              <c:idx val="4"/>
              <c:layout>
                <c:manualLayout>
                  <c:x val="-5.9146264273235834E-2"/>
                  <c:y val="7.6132156301732617E-2"/>
                </c:manualLayout>
              </c:layout>
              <c:showLegendKey val="0"/>
              <c:showVal val="1"/>
              <c:showCatName val="0"/>
              <c:showSerName val="0"/>
              <c:showPercent val="0"/>
              <c:showBubbleSize val="0"/>
            </c:dLbl>
            <c:dLbl>
              <c:idx val="5"/>
              <c:layout>
                <c:manualLayout>
                  <c:x val="-0.117899249732047"/>
                  <c:y val="-6.7242388645289322E-2"/>
                </c:manualLayout>
              </c:layout>
              <c:showLegendKey val="0"/>
              <c:showVal val="1"/>
              <c:showCatName val="0"/>
              <c:showSerName val="0"/>
              <c:showPercent val="0"/>
              <c:showBubbleSize val="0"/>
            </c:dLbl>
            <c:dLbl>
              <c:idx val="6"/>
              <c:layout>
                <c:manualLayout>
                  <c:x val="-6.430868167202583E-2"/>
                  <c:y val="5.4085299898812569E-2"/>
                </c:manualLayout>
              </c:layout>
              <c:showLegendKey val="0"/>
              <c:showVal val="1"/>
              <c:showCatName val="0"/>
              <c:showSerName val="0"/>
              <c:showPercent val="0"/>
              <c:showBubbleSize val="0"/>
            </c:dLbl>
            <c:dLbl>
              <c:idx val="7"/>
              <c:layout>
                <c:manualLayout>
                  <c:x val="-1.9706138018921353E-4"/>
                  <c:y val="-5.8277408824635502E-2"/>
                </c:manualLayout>
              </c:layout>
              <c:showLegendKey val="0"/>
              <c:showVal val="1"/>
              <c:showCatName val="0"/>
              <c:showSerName val="0"/>
              <c:showPercent val="0"/>
              <c:showBubbleSize val="0"/>
            </c:dLbl>
            <c:txPr>
              <a:bodyPr/>
              <a:lstStyle/>
              <a:p>
                <a:pPr>
                  <a:defRPr sz="1200" b="1">
                    <a:latin typeface="Times New Roman"/>
                    <a:cs typeface="Times New Roman"/>
                  </a:defRPr>
                </a:pPr>
                <a:endParaRPr lang="ru-RU"/>
              </a:p>
            </c:txPr>
            <c:showLegendKey val="0"/>
            <c:showVal val="1"/>
            <c:showCatName val="0"/>
            <c:showSerName val="0"/>
            <c:showPercent val="0"/>
            <c:showBubbleSize val="0"/>
            <c:showLeaderLines val="0"/>
          </c:dLbls>
          <c:cat>
            <c:numRef>
              <c:f>Лист1!$A$3:$A$10</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Лист1!$B$3:$B$10</c:f>
              <c:numCache>
                <c:formatCode>General</c:formatCode>
                <c:ptCount val="8"/>
                <c:pt idx="0">
                  <c:v>81.599999999999994</c:v>
                </c:pt>
                <c:pt idx="1">
                  <c:v>85.2</c:v>
                </c:pt>
                <c:pt idx="2">
                  <c:v>89.5</c:v>
                </c:pt>
                <c:pt idx="3">
                  <c:v>92.3</c:v>
                </c:pt>
                <c:pt idx="4">
                  <c:v>94.9</c:v>
                </c:pt>
                <c:pt idx="5">
                  <c:v>95.6</c:v>
                </c:pt>
                <c:pt idx="6">
                  <c:v>96.3</c:v>
                </c:pt>
                <c:pt idx="7">
                  <c:v>96.8</c:v>
                </c:pt>
              </c:numCache>
            </c:numRef>
          </c:val>
          <c:smooth val="0"/>
        </c:ser>
        <c:dLbls>
          <c:showLegendKey val="0"/>
          <c:showVal val="0"/>
          <c:showCatName val="0"/>
          <c:showSerName val="0"/>
          <c:showPercent val="0"/>
          <c:showBubbleSize val="0"/>
        </c:dLbls>
        <c:marker val="1"/>
        <c:smooth val="0"/>
        <c:axId val="107012480"/>
        <c:axId val="107014016"/>
      </c:lineChart>
      <c:catAx>
        <c:axId val="107012480"/>
        <c:scaling>
          <c:orientation val="minMax"/>
        </c:scaling>
        <c:delete val="0"/>
        <c:axPos val="b"/>
        <c:numFmt formatCode="General" sourceLinked="1"/>
        <c:majorTickMark val="out"/>
        <c:minorTickMark val="none"/>
        <c:tickLblPos val="nextTo"/>
        <c:spPr>
          <a:ln>
            <a:solidFill>
              <a:srgbClr val="000000"/>
            </a:solidFill>
          </a:ln>
        </c:spPr>
        <c:txPr>
          <a:bodyPr/>
          <a:lstStyle/>
          <a:p>
            <a:pPr>
              <a:defRPr sz="1200">
                <a:latin typeface="Times New Roman"/>
                <a:cs typeface="Times New Roman"/>
              </a:defRPr>
            </a:pPr>
            <a:endParaRPr lang="ru-RU"/>
          </a:p>
        </c:txPr>
        <c:crossAx val="107014016"/>
        <c:crosses val="autoZero"/>
        <c:auto val="1"/>
        <c:lblAlgn val="ctr"/>
        <c:lblOffset val="100"/>
        <c:noMultiLvlLbl val="0"/>
      </c:catAx>
      <c:valAx>
        <c:axId val="107014016"/>
        <c:scaling>
          <c:orientation val="minMax"/>
          <c:min val="80"/>
        </c:scaling>
        <c:delete val="0"/>
        <c:axPos val="l"/>
        <c:numFmt formatCode="General" sourceLinked="1"/>
        <c:majorTickMark val="out"/>
        <c:minorTickMark val="none"/>
        <c:tickLblPos val="nextTo"/>
        <c:spPr>
          <a:ln>
            <a:solidFill>
              <a:srgbClr val="000000"/>
            </a:solidFill>
          </a:ln>
        </c:spPr>
        <c:txPr>
          <a:bodyPr/>
          <a:lstStyle/>
          <a:p>
            <a:pPr>
              <a:defRPr>
                <a:latin typeface="Times New Roman"/>
                <a:cs typeface="Times New Roman"/>
              </a:defRPr>
            </a:pPr>
            <a:endParaRPr lang="ru-RU"/>
          </a:p>
        </c:txPr>
        <c:crossAx val="107012480"/>
        <c:crosses val="autoZero"/>
        <c:crossBetween val="between"/>
      </c:valAx>
      <c:spPr>
        <a:ln>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cked"/>
        <c:varyColors val="0"/>
        <c:ser>
          <c:idx val="0"/>
          <c:order val="0"/>
          <c:dLbls>
            <c:dLbl>
              <c:idx val="0"/>
              <c:layout>
                <c:manualLayout>
                  <c:x val="-5.8491748485481485E-2"/>
                  <c:y val="6.7101584342963594E-2"/>
                </c:manualLayout>
              </c:layout>
              <c:showLegendKey val="0"/>
              <c:showVal val="1"/>
              <c:showCatName val="0"/>
              <c:showSerName val="0"/>
              <c:showPercent val="0"/>
              <c:showBubbleSize val="0"/>
            </c:dLbl>
            <c:dLbl>
              <c:idx val="1"/>
              <c:layout>
                <c:manualLayout>
                  <c:x val="-0.15876331731773638"/>
                  <c:y val="-6.3373718546132413E-2"/>
                </c:manualLayout>
              </c:layout>
              <c:showLegendKey val="0"/>
              <c:showVal val="1"/>
              <c:showCatName val="0"/>
              <c:showSerName val="0"/>
              <c:showPercent val="0"/>
              <c:showBubbleSize val="0"/>
            </c:dLbl>
            <c:dLbl>
              <c:idx val="2"/>
              <c:layout>
                <c:manualLayout>
                  <c:x val="-3.3423856277418E-2"/>
                  <c:y val="5.2190121155638543E-2"/>
                </c:manualLayout>
              </c:layout>
              <c:showLegendKey val="0"/>
              <c:showVal val="1"/>
              <c:showCatName val="0"/>
              <c:showSerName val="0"/>
              <c:showPercent val="0"/>
              <c:showBubbleSize val="0"/>
            </c:dLbl>
            <c:dLbl>
              <c:idx val="7"/>
              <c:layout>
                <c:manualLayout>
                  <c:x val="-7.5203676624190516E-2"/>
                  <c:y val="-4.2321256907192323E-2"/>
                </c:manualLayout>
              </c:layout>
              <c:showLegendKey val="0"/>
              <c:showVal val="1"/>
              <c:showCatName val="0"/>
              <c:showSerName val="0"/>
              <c:showPercent val="0"/>
              <c:showBubbleSize val="0"/>
            </c:dLbl>
            <c:txPr>
              <a:bodyPr/>
              <a:lstStyle/>
              <a:p>
                <a:pPr>
                  <a:defRPr sz="1400" b="1">
                    <a:latin typeface="Times New Roman"/>
                    <a:cs typeface="Times New Roman"/>
                  </a:defRPr>
                </a:pPr>
                <a:endParaRPr lang="ru-RU"/>
              </a:p>
            </c:txPr>
            <c:showLegendKey val="0"/>
            <c:showVal val="1"/>
            <c:showCatName val="0"/>
            <c:showSerName val="0"/>
            <c:showPercent val="0"/>
            <c:showBubbleSize val="0"/>
            <c:showLeaderLines val="0"/>
          </c:dLbls>
          <c:cat>
            <c:numRef>
              <c:f>'Ирландия - Валовой внутренний п'!$K$8:$K$15</c:f>
              <c:numCache>
                <c:formatCode>@</c:formatCode>
                <c:ptCount val="8"/>
                <c:pt idx="0">
                  <c:v>2010</c:v>
                </c:pt>
                <c:pt idx="1">
                  <c:v>2011</c:v>
                </c:pt>
                <c:pt idx="2">
                  <c:v>2012</c:v>
                </c:pt>
                <c:pt idx="3">
                  <c:v>2013</c:v>
                </c:pt>
                <c:pt idx="4">
                  <c:v>2014</c:v>
                </c:pt>
                <c:pt idx="5">
                  <c:v>2015</c:v>
                </c:pt>
                <c:pt idx="6">
                  <c:v>2016</c:v>
                </c:pt>
                <c:pt idx="7">
                  <c:v>2017</c:v>
                </c:pt>
              </c:numCache>
            </c:numRef>
          </c:cat>
          <c:val>
            <c:numRef>
              <c:f>'Ирландия - Валовой внутренний п'!$L$8:$L$15</c:f>
              <c:numCache>
                <c:formatCode>@</c:formatCode>
                <c:ptCount val="8"/>
                <c:pt idx="0">
                  <c:v>222.34</c:v>
                </c:pt>
                <c:pt idx="1">
                  <c:v>239.14</c:v>
                </c:pt>
                <c:pt idx="2">
                  <c:v>225.5</c:v>
                </c:pt>
                <c:pt idx="3">
                  <c:v>239.08</c:v>
                </c:pt>
                <c:pt idx="4">
                  <c:v>258.04000000000002</c:v>
                </c:pt>
                <c:pt idx="5">
                  <c:v>290.24</c:v>
                </c:pt>
                <c:pt idx="6">
                  <c:v>304.42999999999864</c:v>
                </c:pt>
                <c:pt idx="7">
                  <c:v>325.65000000000032</c:v>
                </c:pt>
              </c:numCache>
            </c:numRef>
          </c:val>
          <c:smooth val="0"/>
        </c:ser>
        <c:dLbls>
          <c:showLegendKey val="0"/>
          <c:showVal val="0"/>
          <c:showCatName val="0"/>
          <c:showSerName val="0"/>
          <c:showPercent val="0"/>
          <c:showBubbleSize val="0"/>
        </c:dLbls>
        <c:marker val="1"/>
        <c:smooth val="0"/>
        <c:axId val="125912576"/>
        <c:axId val="125914112"/>
      </c:lineChart>
      <c:catAx>
        <c:axId val="125912576"/>
        <c:scaling>
          <c:orientation val="minMax"/>
        </c:scaling>
        <c:delete val="0"/>
        <c:axPos val="b"/>
        <c:numFmt formatCode="@" sourceLinked="1"/>
        <c:majorTickMark val="none"/>
        <c:minorTickMark val="none"/>
        <c:tickLblPos val="nextTo"/>
        <c:spPr>
          <a:ln>
            <a:solidFill>
              <a:srgbClr val="000000"/>
            </a:solidFill>
          </a:ln>
        </c:spPr>
        <c:txPr>
          <a:bodyPr/>
          <a:lstStyle/>
          <a:p>
            <a:pPr>
              <a:defRPr sz="1200">
                <a:latin typeface="Times New Roman"/>
                <a:cs typeface="Times New Roman"/>
              </a:defRPr>
            </a:pPr>
            <a:endParaRPr lang="ru-RU"/>
          </a:p>
        </c:txPr>
        <c:crossAx val="125914112"/>
        <c:crosses val="autoZero"/>
        <c:auto val="1"/>
        <c:lblAlgn val="ctr"/>
        <c:lblOffset val="100"/>
        <c:noMultiLvlLbl val="0"/>
      </c:catAx>
      <c:valAx>
        <c:axId val="125914112"/>
        <c:scaling>
          <c:orientation val="minMax"/>
          <c:min val="200"/>
        </c:scaling>
        <c:delete val="0"/>
        <c:axPos val="l"/>
        <c:numFmt formatCode="@" sourceLinked="1"/>
        <c:majorTickMark val="none"/>
        <c:minorTickMark val="none"/>
        <c:tickLblPos val="nextTo"/>
        <c:spPr>
          <a:ln w="9525">
            <a:solidFill>
              <a:srgbClr val="000000"/>
            </a:solidFill>
          </a:ln>
        </c:spPr>
        <c:txPr>
          <a:bodyPr/>
          <a:lstStyle/>
          <a:p>
            <a:pPr>
              <a:defRPr sz="1200">
                <a:latin typeface="Times New Roman"/>
                <a:cs typeface="Times New Roman"/>
              </a:defRPr>
            </a:pPr>
            <a:endParaRPr lang="ru-RU"/>
          </a:p>
        </c:txPr>
        <c:crossAx val="125912576"/>
        <c:crosses val="autoZero"/>
        <c:crossBetween val="between"/>
      </c:valAx>
    </c:plotArea>
    <c:plotVisOnly val="1"/>
    <c:dispBlanksAs val="zero"/>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080671137996801"/>
          <c:y val="3.5060381768601503E-2"/>
          <c:w val="0.79350684612699296"/>
          <c:h val="0.78807456235870865"/>
        </c:manualLayout>
      </c:layout>
      <c:lineChart>
        <c:grouping val="standard"/>
        <c:varyColors val="0"/>
        <c:ser>
          <c:idx val="0"/>
          <c:order val="0"/>
          <c:dLbls>
            <c:dLbl>
              <c:idx val="1"/>
              <c:layout>
                <c:manualLayout>
                  <c:x val="-0.10708931248661413"/>
                  <c:y val="-5.8433969614335814E-2"/>
                </c:manualLayout>
              </c:layout>
              <c:showLegendKey val="0"/>
              <c:showVal val="1"/>
              <c:showCatName val="0"/>
              <c:showSerName val="0"/>
              <c:showPercent val="0"/>
              <c:showBubbleSize val="0"/>
            </c:dLbl>
            <c:dLbl>
              <c:idx val="3"/>
              <c:layout>
                <c:manualLayout>
                  <c:x val="4.283235210291377E-3"/>
                  <c:y val="1.2262238159069202E-2"/>
                </c:manualLayout>
              </c:layout>
              <c:showLegendKey val="0"/>
              <c:showVal val="1"/>
              <c:showCatName val="0"/>
              <c:showSerName val="0"/>
              <c:showPercent val="0"/>
              <c:showBubbleSize val="0"/>
            </c:dLbl>
            <c:dLbl>
              <c:idx val="4"/>
              <c:layout>
                <c:manualLayout>
                  <c:x val="-1.7134627287031402E-2"/>
                  <c:y val="-5.0681116165504511E-2"/>
                </c:manualLayout>
              </c:layout>
              <c:showLegendKey val="0"/>
              <c:showVal val="1"/>
              <c:showCatName val="0"/>
              <c:showSerName val="0"/>
              <c:showPercent val="0"/>
              <c:showBubbleSize val="0"/>
            </c:dLbl>
            <c:dLbl>
              <c:idx val="5"/>
              <c:layout>
                <c:manualLayout>
                  <c:x val="-0.38123828974151802"/>
                  <c:y val="2.5336723832775814E-4"/>
                </c:manualLayout>
              </c:layout>
              <c:showLegendKey val="0"/>
              <c:showVal val="1"/>
              <c:showCatName val="0"/>
              <c:showSerName val="0"/>
              <c:showPercent val="0"/>
              <c:showBubbleSize val="0"/>
            </c:dLbl>
            <c:dLbl>
              <c:idx val="6"/>
              <c:layout>
                <c:manualLayout>
                  <c:x val="1.2850717498393699E-2"/>
                  <c:y val="-3.8448631786239001E-2"/>
                </c:manualLayout>
              </c:layout>
              <c:showLegendKey val="0"/>
              <c:showVal val="1"/>
              <c:showCatName val="0"/>
              <c:showSerName val="0"/>
              <c:showPercent val="0"/>
              <c:showBubbleSize val="0"/>
            </c:dLbl>
            <c:dLbl>
              <c:idx val="7"/>
              <c:layout>
                <c:manualLayout>
                  <c:x val="-0.12422360248447224"/>
                  <c:y val="4.2851577717179616E-2"/>
                </c:manualLayout>
              </c:layout>
              <c:showLegendKey val="0"/>
              <c:showVal val="1"/>
              <c:showCatName val="0"/>
              <c:showSerName val="0"/>
              <c:showPercent val="0"/>
              <c:showBubbleSize val="0"/>
            </c:dLbl>
            <c:txPr>
              <a:bodyPr/>
              <a:lstStyle/>
              <a:p>
                <a:pPr>
                  <a:defRPr sz="1200" b="1">
                    <a:latin typeface="Times New Roman"/>
                    <a:cs typeface="Times New Roman"/>
                  </a:defRPr>
                </a:pPr>
                <a:endParaRPr lang="ru-RU"/>
              </a:p>
            </c:txPr>
            <c:showLegendKey val="0"/>
            <c:showVal val="1"/>
            <c:showCatName val="0"/>
            <c:showSerName val="0"/>
            <c:showPercent val="0"/>
            <c:showBubbleSize val="0"/>
            <c:showLeaderLines val="0"/>
          </c:dLbls>
          <c:cat>
            <c:numRef>
              <c:f>Лист2!$A$1:$A$8</c:f>
              <c:numCache>
                <c:formatCode>@</c:formatCode>
                <c:ptCount val="8"/>
                <c:pt idx="0">
                  <c:v>2010</c:v>
                </c:pt>
                <c:pt idx="1">
                  <c:v>2011</c:v>
                </c:pt>
                <c:pt idx="2">
                  <c:v>2012</c:v>
                </c:pt>
                <c:pt idx="3">
                  <c:v>2013</c:v>
                </c:pt>
                <c:pt idx="4">
                  <c:v>2014</c:v>
                </c:pt>
                <c:pt idx="5">
                  <c:v>2015</c:v>
                </c:pt>
                <c:pt idx="6">
                  <c:v>2016</c:v>
                </c:pt>
                <c:pt idx="7">
                  <c:v>2017</c:v>
                </c:pt>
              </c:numCache>
            </c:numRef>
          </c:cat>
          <c:val>
            <c:numRef>
              <c:f>Лист2!$B$1:$B$8</c:f>
              <c:numCache>
                <c:formatCode>@</c:formatCode>
                <c:ptCount val="8"/>
                <c:pt idx="0">
                  <c:v>146.30000000000001</c:v>
                </c:pt>
                <c:pt idx="1">
                  <c:v>172.1</c:v>
                </c:pt>
                <c:pt idx="2">
                  <c:v>159.6</c:v>
                </c:pt>
                <c:pt idx="3">
                  <c:v>177.9</c:v>
                </c:pt>
                <c:pt idx="4">
                  <c:v>180.9</c:v>
                </c:pt>
                <c:pt idx="5">
                  <c:v>179.4</c:v>
                </c:pt>
                <c:pt idx="6">
                  <c:v>181.6</c:v>
                </c:pt>
                <c:pt idx="7">
                  <c:v>180.2</c:v>
                </c:pt>
              </c:numCache>
            </c:numRef>
          </c:val>
          <c:smooth val="0"/>
        </c:ser>
        <c:dLbls>
          <c:showLegendKey val="0"/>
          <c:showVal val="0"/>
          <c:showCatName val="0"/>
          <c:showSerName val="0"/>
          <c:showPercent val="0"/>
          <c:showBubbleSize val="0"/>
        </c:dLbls>
        <c:marker val="1"/>
        <c:smooth val="0"/>
        <c:axId val="125926016"/>
        <c:axId val="125940096"/>
      </c:lineChart>
      <c:catAx>
        <c:axId val="125926016"/>
        <c:scaling>
          <c:orientation val="minMax"/>
        </c:scaling>
        <c:delete val="0"/>
        <c:axPos val="b"/>
        <c:numFmt formatCode="@" sourceLinked="1"/>
        <c:majorTickMark val="out"/>
        <c:minorTickMark val="none"/>
        <c:tickLblPos val="nextTo"/>
        <c:spPr>
          <a:ln>
            <a:solidFill>
              <a:srgbClr val="000000"/>
            </a:solidFill>
          </a:ln>
        </c:spPr>
        <c:txPr>
          <a:bodyPr/>
          <a:lstStyle/>
          <a:p>
            <a:pPr>
              <a:defRPr sz="1200">
                <a:latin typeface="Times New Roman"/>
                <a:cs typeface="Times New Roman"/>
              </a:defRPr>
            </a:pPr>
            <a:endParaRPr lang="ru-RU"/>
          </a:p>
        </c:txPr>
        <c:crossAx val="125940096"/>
        <c:crosses val="autoZero"/>
        <c:auto val="1"/>
        <c:lblAlgn val="ctr"/>
        <c:lblOffset val="100"/>
        <c:noMultiLvlLbl val="0"/>
      </c:catAx>
      <c:valAx>
        <c:axId val="125940096"/>
        <c:scaling>
          <c:orientation val="minMax"/>
          <c:min val="130"/>
        </c:scaling>
        <c:delete val="0"/>
        <c:axPos val="l"/>
        <c:numFmt formatCode="@" sourceLinked="1"/>
        <c:majorTickMark val="out"/>
        <c:minorTickMark val="none"/>
        <c:tickLblPos val="nextTo"/>
        <c:spPr>
          <a:ln>
            <a:solidFill>
              <a:srgbClr val="000000"/>
            </a:solidFill>
          </a:ln>
        </c:spPr>
        <c:txPr>
          <a:bodyPr/>
          <a:lstStyle/>
          <a:p>
            <a:pPr>
              <a:defRPr sz="1200">
                <a:solidFill>
                  <a:srgbClr val="000000"/>
                </a:solidFill>
                <a:latin typeface="Times New Roman"/>
                <a:cs typeface="Times New Roman"/>
              </a:defRPr>
            </a:pPr>
            <a:endParaRPr lang="ru-RU"/>
          </a:p>
        </c:txPr>
        <c:crossAx val="125926016"/>
        <c:crosses val="autoZero"/>
        <c:crossBetween val="between"/>
        <c:majorUnit val="15"/>
      </c:valAx>
    </c:plotArea>
    <c:plotVisOnly val="1"/>
    <c:dispBlanksAs val="gap"/>
    <c:showDLblsOverMax val="0"/>
  </c:chart>
  <c:spPr>
    <a:ln>
      <a:solidFill>
        <a:srgbClr val="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dLbls>
            <c:dLbl>
              <c:idx val="0"/>
              <c:layout>
                <c:manualLayout>
                  <c:x val="-2.1786492374727706E-3"/>
                  <c:y val="2.9761904761904809E-2"/>
                </c:manualLayout>
              </c:layout>
              <c:showLegendKey val="0"/>
              <c:showVal val="1"/>
              <c:showCatName val="0"/>
              <c:showSerName val="0"/>
              <c:showPercent val="0"/>
              <c:showBubbleSize val="0"/>
            </c:dLbl>
            <c:dLbl>
              <c:idx val="1"/>
              <c:layout>
                <c:manualLayout>
                  <c:x val="-8.7145969498910736E-3"/>
                  <c:y val="4.4642857142857116E-2"/>
                </c:manualLayout>
              </c:layout>
              <c:showLegendKey val="0"/>
              <c:showVal val="1"/>
              <c:showCatName val="0"/>
              <c:showSerName val="0"/>
              <c:showPercent val="0"/>
              <c:showBubbleSize val="0"/>
            </c:dLbl>
            <c:dLbl>
              <c:idx val="6"/>
              <c:layout>
                <c:manualLayout>
                  <c:x val="-0.10692804633548711"/>
                  <c:y val="-4.6014790468364805E-2"/>
                </c:manualLayout>
              </c:layout>
              <c:showLegendKey val="0"/>
              <c:showVal val="1"/>
              <c:showCatName val="0"/>
              <c:showSerName val="0"/>
              <c:showPercent val="0"/>
              <c:showBubbleSize val="0"/>
            </c:dLbl>
            <c:dLbl>
              <c:idx val="7"/>
              <c:layout>
                <c:manualLayout>
                  <c:x val="-1.6336040585920199E-16"/>
                  <c:y val="-4.9301561216105134E-2"/>
                </c:manualLayout>
              </c:layout>
              <c:showLegendKey val="0"/>
              <c:showVal val="1"/>
              <c:showCatName val="0"/>
              <c:showSerName val="0"/>
              <c:showPercent val="0"/>
              <c:showBubbleSize val="0"/>
            </c:dLbl>
            <c:txPr>
              <a:bodyPr/>
              <a:lstStyle/>
              <a:p>
                <a:pPr>
                  <a:defRPr sz="1200" b="1">
                    <a:latin typeface="Times New Roman"/>
                    <a:cs typeface="Times New Roman"/>
                  </a:defRPr>
                </a:pPr>
                <a:endParaRPr lang="ru-RU"/>
              </a:p>
            </c:txPr>
            <c:showLegendKey val="0"/>
            <c:showVal val="1"/>
            <c:showCatName val="0"/>
            <c:showSerName val="0"/>
            <c:showPercent val="0"/>
            <c:showBubbleSize val="0"/>
            <c:showLeaderLines val="0"/>
          </c:dLbls>
          <c:cat>
            <c:numRef>
              <c:f>Лист3!$A$2:$A$9</c:f>
              <c:numCache>
                <c:formatCode>@</c:formatCode>
                <c:ptCount val="8"/>
                <c:pt idx="0">
                  <c:v>2010</c:v>
                </c:pt>
                <c:pt idx="1">
                  <c:v>2011</c:v>
                </c:pt>
                <c:pt idx="2">
                  <c:v>2012</c:v>
                </c:pt>
                <c:pt idx="3">
                  <c:v>2013</c:v>
                </c:pt>
                <c:pt idx="4">
                  <c:v>2014</c:v>
                </c:pt>
                <c:pt idx="5">
                  <c:v>2015</c:v>
                </c:pt>
                <c:pt idx="6">
                  <c:v>2016</c:v>
                </c:pt>
                <c:pt idx="7">
                  <c:v>2017</c:v>
                </c:pt>
              </c:numCache>
            </c:numRef>
          </c:cat>
          <c:val>
            <c:numRef>
              <c:f>Лист3!$B$2:$B$9</c:f>
              <c:numCache>
                <c:formatCode>@</c:formatCode>
                <c:ptCount val="8"/>
                <c:pt idx="0">
                  <c:v>42.2</c:v>
                </c:pt>
                <c:pt idx="1">
                  <c:v>43.2</c:v>
                </c:pt>
                <c:pt idx="2">
                  <c:v>43.2</c:v>
                </c:pt>
                <c:pt idx="3">
                  <c:v>46.4</c:v>
                </c:pt>
                <c:pt idx="4">
                  <c:v>49.5</c:v>
                </c:pt>
                <c:pt idx="5">
                  <c:v>53.7</c:v>
                </c:pt>
                <c:pt idx="6">
                  <c:v>58.4</c:v>
                </c:pt>
                <c:pt idx="7">
                  <c:v>53.3</c:v>
                </c:pt>
              </c:numCache>
            </c:numRef>
          </c:val>
          <c:smooth val="0"/>
        </c:ser>
        <c:dLbls>
          <c:showLegendKey val="0"/>
          <c:showVal val="0"/>
          <c:showCatName val="0"/>
          <c:showSerName val="0"/>
          <c:showPercent val="0"/>
          <c:showBubbleSize val="0"/>
        </c:dLbls>
        <c:marker val="1"/>
        <c:smooth val="0"/>
        <c:axId val="125956096"/>
        <c:axId val="125957632"/>
      </c:lineChart>
      <c:catAx>
        <c:axId val="125956096"/>
        <c:scaling>
          <c:orientation val="minMax"/>
        </c:scaling>
        <c:delete val="0"/>
        <c:axPos val="b"/>
        <c:numFmt formatCode="@" sourceLinked="1"/>
        <c:majorTickMark val="out"/>
        <c:minorTickMark val="none"/>
        <c:tickLblPos val="nextTo"/>
        <c:txPr>
          <a:bodyPr/>
          <a:lstStyle/>
          <a:p>
            <a:pPr>
              <a:defRPr sz="1200">
                <a:latin typeface="Times New Roman"/>
                <a:cs typeface="Times New Roman"/>
              </a:defRPr>
            </a:pPr>
            <a:endParaRPr lang="ru-RU"/>
          </a:p>
        </c:txPr>
        <c:crossAx val="125957632"/>
        <c:crosses val="autoZero"/>
        <c:auto val="1"/>
        <c:lblAlgn val="ctr"/>
        <c:lblOffset val="100"/>
        <c:noMultiLvlLbl val="0"/>
      </c:catAx>
      <c:valAx>
        <c:axId val="125957632"/>
        <c:scaling>
          <c:orientation val="minMax"/>
          <c:min val="40"/>
        </c:scaling>
        <c:delete val="0"/>
        <c:axPos val="l"/>
        <c:numFmt formatCode="@" sourceLinked="1"/>
        <c:majorTickMark val="out"/>
        <c:minorTickMark val="none"/>
        <c:tickLblPos val="nextTo"/>
        <c:txPr>
          <a:bodyPr/>
          <a:lstStyle/>
          <a:p>
            <a:pPr>
              <a:defRPr sz="1200">
                <a:latin typeface="Times New Roman"/>
                <a:cs typeface="Times New Roman"/>
              </a:defRPr>
            </a:pPr>
            <a:endParaRPr lang="ru-RU"/>
          </a:p>
        </c:txPr>
        <c:crossAx val="125956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dLbls>
            <c:dLbl>
              <c:idx val="1"/>
              <c:layout>
                <c:manualLayout>
                  <c:x val="-9.2828962636342646E-2"/>
                  <c:y val="3.2640594896764796E-2"/>
                </c:manualLayout>
              </c:layout>
              <c:showLegendKey val="0"/>
              <c:showVal val="1"/>
              <c:showCatName val="0"/>
              <c:showSerName val="0"/>
              <c:showPercent val="0"/>
              <c:showBubbleSize val="0"/>
            </c:dLbl>
            <c:dLbl>
              <c:idx val="2"/>
              <c:layout>
                <c:manualLayout>
                  <c:x val="-2.3207240659085616E-2"/>
                  <c:y val="3.6297640653357416E-2"/>
                </c:manualLayout>
              </c:layout>
              <c:showLegendKey val="0"/>
              <c:showVal val="1"/>
              <c:showCatName val="0"/>
              <c:showSerName val="0"/>
              <c:showPercent val="0"/>
              <c:showBubbleSize val="0"/>
            </c:dLbl>
            <c:dLbl>
              <c:idx val="3"/>
              <c:layout>
                <c:manualLayout>
                  <c:x val="-4.1773033186354086E-2"/>
                  <c:y val="2.3098498597591187E-2"/>
                </c:manualLayout>
              </c:layout>
              <c:showLegendKey val="0"/>
              <c:showVal val="1"/>
              <c:showCatName val="0"/>
              <c:showSerName val="0"/>
              <c:showPercent val="0"/>
              <c:showBubbleSize val="0"/>
            </c:dLbl>
            <c:dLbl>
              <c:idx val="4"/>
              <c:layout>
                <c:manualLayout>
                  <c:x val="1.8565792527268407E-2"/>
                  <c:y val="-9.8993565418248036E-3"/>
                </c:manualLayout>
              </c:layout>
              <c:showLegendKey val="0"/>
              <c:showVal val="1"/>
              <c:showCatName val="0"/>
              <c:showSerName val="0"/>
              <c:showPercent val="0"/>
              <c:showBubbleSize val="0"/>
            </c:dLbl>
            <c:dLbl>
              <c:idx val="5"/>
              <c:layout>
                <c:manualLayout>
                  <c:x val="-7.426317010907392E-2"/>
                  <c:y val="-5.8374504869781914E-2"/>
                </c:manualLayout>
              </c:layout>
              <c:showLegendKey val="0"/>
              <c:showVal val="1"/>
              <c:showCatName val="0"/>
              <c:showSerName val="0"/>
              <c:showPercent val="0"/>
              <c:showBubbleSize val="0"/>
            </c:dLbl>
            <c:dLbl>
              <c:idx val="6"/>
              <c:layout>
                <c:manualLayout>
                  <c:x val="-5.1055929449988414E-2"/>
                  <c:y val="-4.854841915590441E-2"/>
                </c:manualLayout>
              </c:layout>
              <c:showLegendKey val="0"/>
              <c:showVal val="1"/>
              <c:showCatName val="0"/>
              <c:showSerName val="0"/>
              <c:showPercent val="0"/>
              <c:showBubbleSize val="0"/>
            </c:dLbl>
            <c:dLbl>
              <c:idx val="7"/>
              <c:layout>
                <c:manualLayout>
                  <c:x val="0"/>
                  <c:y val="4.6196997195182388E-2"/>
                </c:manualLayout>
              </c:layout>
              <c:showLegendKey val="0"/>
              <c:showVal val="1"/>
              <c:showCatName val="0"/>
              <c:showSerName val="0"/>
              <c:showPercent val="0"/>
              <c:showBubbleSize val="0"/>
            </c:dLbl>
            <c:txPr>
              <a:bodyPr/>
              <a:lstStyle/>
              <a:p>
                <a:pPr>
                  <a:defRPr sz="1400" b="1">
                    <a:latin typeface="Times New Roman"/>
                    <a:cs typeface="Times New Roman"/>
                  </a:defRPr>
                </a:pPr>
                <a:endParaRPr lang="ru-RU"/>
              </a:p>
            </c:txPr>
            <c:showLegendKey val="0"/>
            <c:showVal val="1"/>
            <c:showCatName val="0"/>
            <c:showSerName val="0"/>
            <c:showPercent val="0"/>
            <c:showBubbleSize val="0"/>
            <c:showLeaderLines val="0"/>
          </c:dLbls>
          <c:cat>
            <c:numRef>
              <c:f>Лист5!$A$2:$A$9</c:f>
              <c:numCache>
                <c:formatCode>@</c:formatCode>
                <c:ptCount val="8"/>
                <c:pt idx="0">
                  <c:v>2010</c:v>
                </c:pt>
                <c:pt idx="1">
                  <c:v>2011</c:v>
                </c:pt>
                <c:pt idx="2">
                  <c:v>2012</c:v>
                </c:pt>
                <c:pt idx="3">
                  <c:v>2013</c:v>
                </c:pt>
                <c:pt idx="4">
                  <c:v>2014</c:v>
                </c:pt>
                <c:pt idx="5">
                  <c:v>2015</c:v>
                </c:pt>
                <c:pt idx="6">
                  <c:v>2016</c:v>
                </c:pt>
                <c:pt idx="7">
                  <c:v>2017</c:v>
                </c:pt>
              </c:numCache>
            </c:numRef>
          </c:cat>
          <c:val>
            <c:numRef>
              <c:f>Лист5!$B$2:$B$9</c:f>
              <c:numCache>
                <c:formatCode>@</c:formatCode>
                <c:ptCount val="8"/>
                <c:pt idx="0">
                  <c:v>42</c:v>
                </c:pt>
                <c:pt idx="1">
                  <c:v>37.5</c:v>
                </c:pt>
                <c:pt idx="2">
                  <c:v>38.9</c:v>
                </c:pt>
                <c:pt idx="3">
                  <c:v>41.7</c:v>
                </c:pt>
                <c:pt idx="4">
                  <c:v>43.6</c:v>
                </c:pt>
                <c:pt idx="5">
                  <c:v>56</c:v>
                </c:pt>
                <c:pt idx="6">
                  <c:v>54.2</c:v>
                </c:pt>
                <c:pt idx="7">
                  <c:v>53.4</c:v>
                </c:pt>
              </c:numCache>
            </c:numRef>
          </c:val>
          <c:smooth val="0"/>
        </c:ser>
        <c:dLbls>
          <c:showLegendKey val="0"/>
          <c:showVal val="0"/>
          <c:showCatName val="0"/>
          <c:showSerName val="0"/>
          <c:showPercent val="0"/>
          <c:showBubbleSize val="0"/>
        </c:dLbls>
        <c:marker val="1"/>
        <c:smooth val="0"/>
        <c:axId val="140412032"/>
        <c:axId val="140413568"/>
      </c:lineChart>
      <c:catAx>
        <c:axId val="140412032"/>
        <c:scaling>
          <c:orientation val="minMax"/>
        </c:scaling>
        <c:delete val="0"/>
        <c:axPos val="b"/>
        <c:numFmt formatCode="@" sourceLinked="1"/>
        <c:majorTickMark val="out"/>
        <c:minorTickMark val="none"/>
        <c:tickLblPos val="nextTo"/>
        <c:txPr>
          <a:bodyPr/>
          <a:lstStyle/>
          <a:p>
            <a:pPr>
              <a:defRPr sz="1200">
                <a:latin typeface="Times New Roman"/>
                <a:cs typeface="Times New Roman"/>
              </a:defRPr>
            </a:pPr>
            <a:endParaRPr lang="ru-RU"/>
          </a:p>
        </c:txPr>
        <c:crossAx val="140413568"/>
        <c:crosses val="autoZero"/>
        <c:auto val="1"/>
        <c:lblAlgn val="ctr"/>
        <c:lblOffset val="100"/>
        <c:noMultiLvlLbl val="0"/>
      </c:catAx>
      <c:valAx>
        <c:axId val="140413568"/>
        <c:scaling>
          <c:orientation val="minMax"/>
          <c:min val="30"/>
        </c:scaling>
        <c:delete val="0"/>
        <c:axPos val="l"/>
        <c:numFmt formatCode="@" sourceLinked="1"/>
        <c:majorTickMark val="out"/>
        <c:minorTickMark val="none"/>
        <c:tickLblPos val="nextTo"/>
        <c:txPr>
          <a:bodyPr/>
          <a:lstStyle/>
          <a:p>
            <a:pPr>
              <a:defRPr sz="1200">
                <a:latin typeface="Times New Roman"/>
                <a:cs typeface="Times New Roman"/>
              </a:defRPr>
            </a:pPr>
            <a:endParaRPr lang="ru-RU"/>
          </a:p>
        </c:txPr>
        <c:crossAx val="140412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20A9C-34EF-4960-902D-734CE910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cp:lastModifiedBy>
  <cp:revision>2</cp:revision>
  <dcterms:created xsi:type="dcterms:W3CDTF">2019-09-04T09:14:00Z</dcterms:created>
  <dcterms:modified xsi:type="dcterms:W3CDTF">2019-09-04T09:14:00Z</dcterms:modified>
</cp:coreProperties>
</file>