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11C" w:rsidRPr="006F63E9" w:rsidRDefault="0092311C" w:rsidP="0092311C">
      <w:pPr>
        <w:spacing w:after="0" w:line="360" w:lineRule="auto"/>
        <w:ind w:firstLine="709"/>
        <w:contextualSpacing/>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w:t>
      </w:r>
      <w:r>
        <w:rPr>
          <w:rFonts w:ascii="Times New Roman" w:hAnsi="Times New Roman" w:cs="Times New Roman"/>
          <w:color w:val="000000" w:themeColor="text1"/>
          <w:sz w:val="28"/>
          <w:szCs w:val="28"/>
        </w:rPr>
        <w:t xml:space="preserve"> 347.472 (043.2)</w:t>
      </w:r>
    </w:p>
    <w:p w:rsidR="0092311C" w:rsidRPr="006F63E9" w:rsidRDefault="0092311C" w:rsidP="0092311C">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Тимощук А. В.,</w:t>
      </w:r>
      <w:r w:rsidRPr="006F63E9">
        <w:rPr>
          <w:rFonts w:ascii="Times New Roman" w:hAnsi="Times New Roman" w:cs="Times New Roman"/>
          <w:color w:val="000000" w:themeColor="text1"/>
          <w:sz w:val="28"/>
          <w:szCs w:val="28"/>
        </w:rPr>
        <w:t xml:space="preserve"> студентка,</w:t>
      </w:r>
    </w:p>
    <w:p w:rsidR="0092311C" w:rsidRPr="006F63E9" w:rsidRDefault="0092311C" w:rsidP="0092311C">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92311C" w:rsidRPr="006F63E9" w:rsidRDefault="0092311C" w:rsidP="0092311C">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p>
    <w:p w:rsidR="0092311C" w:rsidRDefault="0092311C" w:rsidP="0092311C">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 М., старший викладач</w:t>
      </w:r>
    </w:p>
    <w:p w:rsidR="0092311C" w:rsidRPr="006F63E9" w:rsidRDefault="0092311C" w:rsidP="0092311C">
      <w:pPr>
        <w:spacing w:after="0" w:line="360" w:lineRule="auto"/>
        <w:ind w:firstLine="709"/>
        <w:contextualSpacing/>
        <w:jc w:val="right"/>
        <w:rPr>
          <w:rFonts w:ascii="Times New Roman" w:hAnsi="Times New Roman" w:cs="Times New Roman"/>
          <w:color w:val="000000" w:themeColor="text1"/>
          <w:sz w:val="28"/>
          <w:szCs w:val="28"/>
        </w:rPr>
      </w:pPr>
    </w:p>
    <w:p w:rsidR="0092311C" w:rsidRPr="00C21C3D" w:rsidRDefault="0092311C" w:rsidP="0092311C">
      <w:pPr>
        <w:spacing w:after="0" w:line="360" w:lineRule="auto"/>
        <w:ind w:firstLine="709"/>
        <w:contextualSpacing/>
        <w:jc w:val="center"/>
        <w:rPr>
          <w:rFonts w:ascii="Times New Roman" w:hAnsi="Times New Roman" w:cs="Times New Roman"/>
          <w:b/>
          <w:color w:val="000000" w:themeColor="text1"/>
          <w:sz w:val="28"/>
          <w:szCs w:val="28"/>
        </w:rPr>
      </w:pPr>
      <w:r w:rsidRPr="00C21C3D">
        <w:rPr>
          <w:rFonts w:ascii="Times New Roman" w:hAnsi="Times New Roman" w:cs="Times New Roman"/>
          <w:b/>
          <w:color w:val="000000" w:themeColor="text1"/>
          <w:sz w:val="28"/>
          <w:szCs w:val="28"/>
        </w:rPr>
        <w:t>ОСОБЛИВОСТІ ДОГОВОРУ ДАРУВАННЯ</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 сьогодні роль  договору  дарування набагато зросла у суспільному житті, можливо це обумовлено тим, що дане зобов’язання має на меті обдарувати особу та наділити її певними емоціями від дарунку. Договір дарування є одним із найцікавіших договорів у цивільному праві, за яким відбувається безоплатна передача майна у власність іншій особі. Тобто він виступає антиподом договору купівлі-продажу, при якому із останнього випливає зустрічне задоволення сторін. Саме тому він є актуальним з позиції його дослідження, розвитку та вдосконалення, оскільки стосується майнових інтересів людини.  </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Відповідно до  ч. 1 ст. 717 Цивільного кодексу України за договором дарування одна сторона (дарувальник) передає або зобов’язується передати в майбутньому другій стороні (обдаровуваному) безоплатно майно (дарунок) у власність [1].</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Базовим правовим положенням усієї конструкції нормативно-правових актів держави, що регулюють правові основи здійснення дарування, є норма ст. 41 Конституції України, відповідно до якої кожен має право володіти, користуватися та розпоряджатися своєю власністю. Звідси випливає i право особи на безоплатну передачу належної їй власності іншій особі, конкретизоване й унормоване в Цивільному кодексі України [2, с. 72].</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 практиці зустрічається сплата обдаровуваним умовної або символічної суми за дарунок, що часто зустрічається у побуті (наприклад, дрібних монет при даруванні тварин, ножів), але це не робить цей договір відплатним. Необхідно усвідомлювати, що дані дії є лише давньою традицією </w:t>
      </w:r>
      <w:r w:rsidRPr="006F63E9">
        <w:rPr>
          <w:rFonts w:ascii="Times New Roman" w:hAnsi="Times New Roman" w:cs="Times New Roman"/>
          <w:color w:val="000000" w:themeColor="text1"/>
          <w:sz w:val="28"/>
          <w:szCs w:val="28"/>
        </w:rPr>
        <w:lastRenderedPageBreak/>
        <w:t>та не виконують ролі компенсації за отримане майно. За відсутності усвідомлення умовності й символічного характеру  правовідносини не можна розглядати як договір дарування.</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Даний договір визначається   двостороннім, але його особливий характер виявляється лише тоді, коли у дарувальника виникають  обов'язки, а вони з’являються при наявності у дарунка певних недоліків або особливих властивостей, які можуть бути небезпечними для життя, здоров'я, майна обдаровуваного або і нших осіб.</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Ми вважаємо доцільним зазначити, що у цих правовідносинах існують певні обмеження щодо сторін договору, які полягають у тому, що:</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батьки (усиновлювачі), опікуни не мають права дарувати майно дітей, підопічних; </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підприємницькі товариства можуть укладати договір дарування між собою, якщо право здійснювати дарування прямо встановлено установчим документом дарувальника; </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 xml:space="preserve">– у разі укладення договору дарування через представника, у дорученні обов’язково зазначається ім’я обдаровуваного; доручення на укладення договору дарування, в якому не встановлено імені обдаровуваного, є нікчемним. (3 підручник) </w:t>
      </w:r>
      <w:r w:rsidRPr="006F63E9">
        <w:rPr>
          <w:rFonts w:ascii="Times New Roman" w:hAnsi="Times New Roman" w:cs="Times New Roman"/>
          <w:color w:val="000000" w:themeColor="text1"/>
          <w:sz w:val="28"/>
          <w:szCs w:val="28"/>
          <w:lang w:val="ru-RU"/>
        </w:rPr>
        <w:t xml:space="preserve">[3, </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273</w:t>
      </w:r>
      <w:r w:rsidRPr="006F63E9">
        <w:rPr>
          <w:rFonts w:ascii="Times New Roman" w:hAnsi="Times New Roman" w:cs="Times New Roman"/>
          <w:color w:val="000000" w:themeColor="text1"/>
          <w:sz w:val="28"/>
          <w:szCs w:val="28"/>
          <w:lang w:val="ru-RU"/>
        </w:rPr>
        <w:t>].</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Предметом договору дарування можуть бути речі - рухомі та нерухомі, крім тих, які вилученні з цивільного обороту.  Також предметом виступають різні майнові права, яким дарувальник має право розпорядитися. Специфіка предмета договору дарування майнових прав зумовлює необхідність письмової форми правочину. Аналогічна ситуація складається у разі, коли укладення договору не збігається з моментом передачі дарунка. В цьому випадку має місце консенсуальна угода. Недотримання письмової форми угоди є підставою для визнання її недійсною.</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Особливості змісту договору дарування  полягають в тому, що дарувальник повинен відповідати за шкоду, заподіяну обдарованому річчю з недоліками, про які знав дарувальник, але про які не було повідомлено </w:t>
      </w:r>
      <w:r w:rsidRPr="006F63E9">
        <w:rPr>
          <w:rFonts w:ascii="Times New Roman" w:hAnsi="Times New Roman" w:cs="Times New Roman"/>
          <w:color w:val="000000" w:themeColor="text1"/>
          <w:sz w:val="28"/>
          <w:szCs w:val="28"/>
        </w:rPr>
        <w:lastRenderedPageBreak/>
        <w:t xml:space="preserve">потерпілому. Якщо дарувальнику не було відомо про недоліки або особливі властивості подарованої речі (товару), але користування подарунком призвело до виникнення шкоди, завданої життю, здоров´ю або майну обдарованого або інших осіб, то у даному випадку дарувальник не несе відповідальності за настання таких умов. </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Дарувальник вправі відмовитися від передачі дарунка у майбутньому, якщо істотно погіршиться його майновий стан. Таким може бути втрата постійного заробітку, тяжка хвороба дарувальника або членів його родини, інші непередбачувані обставини на момент укладання договору, що негативно вплинули пізніше на його майновий стан. Таким чином, дарувальник повинен довести, що його майновий (матеріальний) стан дійсно погіршився, а також, що таке погіршення сталося вже після укладання договору дарування, і в момент укладання якого він не міг передбачити такого подальшого негативного перебігу подій. Якщо такі докази відсутні, дарувальник повинен передати обдаровуваному дарунок, передбачений договором дарування або відшкодувати його вартість [4].</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Проаналізувавши все вище згадане,  можна зробити висновок, що договір дарування дійсно багатий на безліч особливостей, на які варто звертати увагу кожному, хто є його учасником. Найважливішою відмінністю від всіх інших договорів безумовно виступає безоплатний характер даних правовідносин. Також він характеризується специфічним предметом та певними  обмеженнями щодо сторін його укладання. Необхідно удосконалювати і більш детально тлумачити даний договір, що уникати помилок у його складанні чи виконанні.</w:t>
      </w:r>
    </w:p>
    <w:p w:rsidR="0092311C" w:rsidRPr="006F63E9" w:rsidRDefault="0092311C" w:rsidP="0092311C">
      <w:pPr>
        <w:spacing w:after="0" w:line="360" w:lineRule="auto"/>
        <w:ind w:firstLine="709"/>
        <w:contextualSpacing/>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1. Цивільний кодекс України від 16.01.2003. Відомості Верховної Ради України (ВВР), 2003. №№ 40-44. ст.356</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2. Хіміч С. Загальні особливості договору дарування нерухомого майна та його оформлення. Підприємництво, господарство і право. 2010. № 3. С. 72-74.</w:t>
      </w:r>
    </w:p>
    <w:p w:rsidR="0092311C" w:rsidRPr="006F63E9"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3. Яновицької Г.Б., Кучера В.О. Цивільне право України: навчальний посібник  кол. авторів. Львів: Львівський державний університет внутрішніх справ, 2011. 468 с.</w:t>
      </w:r>
    </w:p>
    <w:p w:rsidR="0092311C" w:rsidRDefault="0092311C" w:rsidP="0092311C">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4. Короєд С. О. Науково-практичний коментар Цивільного кодексу Ук</w:t>
      </w:r>
      <w:r>
        <w:rPr>
          <w:rFonts w:ascii="Times New Roman" w:hAnsi="Times New Roman" w:cs="Times New Roman"/>
          <w:color w:val="000000" w:themeColor="text1"/>
          <w:sz w:val="28"/>
          <w:szCs w:val="28"/>
        </w:rPr>
        <w:t>раїни від  05.02.2019. Ст. 724.</w:t>
      </w:r>
    </w:p>
    <w:p w:rsidR="0092311C" w:rsidRDefault="0092311C">
      <w:bookmarkStart w:id="0" w:name="_GoBack"/>
      <w:bookmarkEnd w:id="0"/>
    </w:p>
    <w:sectPr w:rsidR="0092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1C"/>
    <w:rsid w:val="0092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8EF19-720A-477D-8616-E99E493E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11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2019-06-23T11:53:00Z</dcterms:created>
  <dcterms:modified xsi:type="dcterms:W3CDTF">2019-06-23T11:54:00Z</dcterms:modified>
</cp:coreProperties>
</file>