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BC" w:rsidRPr="00B53BEC" w:rsidRDefault="00DF61BC" w:rsidP="00402163">
      <w:pPr>
        <w:tabs>
          <w:tab w:val="left" w:pos="781"/>
          <w:tab w:val="left" w:pos="6618"/>
          <w:tab w:val="right" w:pos="992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53BEC">
        <w:rPr>
          <w:rFonts w:ascii="Times New Roman" w:hAnsi="Times New Roman"/>
          <w:sz w:val="28"/>
          <w:szCs w:val="28"/>
        </w:rPr>
        <w:t>УДК</w:t>
      </w:r>
      <w:r w:rsidRPr="00B53B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343.21:343.846</w:t>
      </w:r>
    </w:p>
    <w:p w:rsidR="00DF61BC" w:rsidRPr="00B53BEC" w:rsidRDefault="00DF61BC" w:rsidP="00402163">
      <w:pPr>
        <w:tabs>
          <w:tab w:val="left" w:pos="781"/>
          <w:tab w:val="left" w:pos="6618"/>
          <w:tab w:val="right" w:pos="992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B53BEC">
        <w:rPr>
          <w:rFonts w:ascii="Times New Roman" w:hAnsi="Times New Roman"/>
          <w:b/>
          <w:sz w:val="28"/>
          <w:szCs w:val="28"/>
          <w:lang w:val="uk-UA"/>
        </w:rPr>
        <w:t>ХадієваЕ.Р.,</w:t>
      </w:r>
      <w:r w:rsidRPr="00B53BEC">
        <w:rPr>
          <w:rFonts w:ascii="Times New Roman" w:hAnsi="Times New Roman"/>
          <w:sz w:val="28"/>
          <w:szCs w:val="28"/>
          <w:lang w:val="uk-UA"/>
        </w:rPr>
        <w:t xml:space="preserve">студентка </w:t>
      </w:r>
    </w:p>
    <w:p w:rsidR="00DF61BC" w:rsidRPr="00B53BEC" w:rsidRDefault="00DF61BC" w:rsidP="00EE124E">
      <w:pPr>
        <w:tabs>
          <w:tab w:val="left" w:pos="781"/>
          <w:tab w:val="left" w:pos="6618"/>
          <w:tab w:val="right" w:pos="992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B53BEC">
        <w:rPr>
          <w:rFonts w:ascii="Times New Roman" w:hAnsi="Times New Roman"/>
          <w:sz w:val="28"/>
          <w:szCs w:val="28"/>
          <w:lang w:val="uk-UA"/>
        </w:rPr>
        <w:t>Навчально-науковий інтитут права і соціальних технологій</w:t>
      </w:r>
    </w:p>
    <w:p w:rsidR="00DF61BC" w:rsidRPr="00B53BEC" w:rsidRDefault="00DF61BC" w:rsidP="00EE124E">
      <w:pPr>
        <w:tabs>
          <w:tab w:val="left" w:pos="781"/>
          <w:tab w:val="left" w:pos="6618"/>
          <w:tab w:val="right" w:pos="992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B53BEC">
        <w:rPr>
          <w:rFonts w:ascii="Times New Roman" w:hAnsi="Times New Roman"/>
          <w:sz w:val="28"/>
          <w:szCs w:val="28"/>
          <w:lang w:val="uk-UA"/>
        </w:rPr>
        <w:t xml:space="preserve">Чернігівський національний технологічний університет </w:t>
      </w:r>
    </w:p>
    <w:p w:rsidR="00DF61BC" w:rsidRPr="00B53BEC" w:rsidRDefault="00DF61BC" w:rsidP="00500771">
      <w:pPr>
        <w:tabs>
          <w:tab w:val="left" w:pos="781"/>
          <w:tab w:val="left" w:pos="6618"/>
          <w:tab w:val="right" w:pos="992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B53BEC">
        <w:rPr>
          <w:rFonts w:ascii="Times New Roman" w:hAnsi="Times New Roman"/>
          <w:sz w:val="28"/>
          <w:szCs w:val="28"/>
          <w:lang w:val="uk-UA"/>
        </w:rPr>
        <w:t>Науковий керівник: Коломієць Н.В., к.ю.н., доцент.</w:t>
      </w:r>
    </w:p>
    <w:p w:rsidR="00DF61BC" w:rsidRPr="00B53BEC" w:rsidRDefault="00DF61BC" w:rsidP="00EE124E">
      <w:pPr>
        <w:tabs>
          <w:tab w:val="left" w:pos="781"/>
          <w:tab w:val="left" w:pos="6618"/>
          <w:tab w:val="right" w:pos="992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F61BC" w:rsidRPr="00B53BEC" w:rsidRDefault="00DF61BC" w:rsidP="00EE124E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53BEC">
        <w:rPr>
          <w:rFonts w:ascii="Times New Roman" w:hAnsi="Times New Roman"/>
          <w:sz w:val="28"/>
          <w:szCs w:val="28"/>
        </w:rPr>
        <w:t>ОСОБЛИВОСТІ ЗВІЛЬНЕННЯ ВІД ПОКАРАННЯ ЗА ХВОРОБОЮ</w:t>
      </w:r>
    </w:p>
    <w:p w:rsidR="00DF61BC" w:rsidRPr="00B53BEC" w:rsidRDefault="00DF61BC" w:rsidP="00EE124E">
      <w:pPr>
        <w:spacing w:after="0" w:line="360" w:lineRule="auto"/>
        <w:ind w:firstLine="567"/>
        <w:jc w:val="center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</w:p>
    <w:p w:rsidR="00DF61BC" w:rsidRPr="00B53BEC" w:rsidRDefault="00DF61BC" w:rsidP="00402163">
      <w:pPr>
        <w:pStyle w:val="NormalWeb"/>
        <w:spacing w:before="0" w:beforeAutospacing="0" w:after="0" w:afterAutospacing="0" w:line="360" w:lineRule="auto"/>
        <w:ind w:firstLine="227"/>
        <w:jc w:val="both"/>
        <w:rPr>
          <w:rStyle w:val="Strong"/>
          <w:b w:val="0"/>
          <w:color w:val="000000"/>
          <w:sz w:val="28"/>
          <w:szCs w:val="28"/>
        </w:rPr>
      </w:pPr>
      <w:r w:rsidRPr="00B53BEC">
        <w:rPr>
          <w:sz w:val="28"/>
          <w:szCs w:val="28"/>
          <w:lang w:val="uk-UA"/>
        </w:rPr>
        <w:t>Метою статті є дослідження особливостей звільнення від кримінального покарання особи, що вчинила злочин, за хворобою на основі національного законодавства та праць вітчизняних науковців.</w:t>
      </w:r>
    </w:p>
    <w:p w:rsidR="00DF61BC" w:rsidRPr="00B53BEC" w:rsidRDefault="00DF61BC" w:rsidP="00402163">
      <w:pPr>
        <w:pStyle w:val="NormalWeb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B53BEC">
        <w:rPr>
          <w:rStyle w:val="Strong"/>
          <w:b w:val="0"/>
          <w:color w:val="000000"/>
          <w:sz w:val="28"/>
          <w:szCs w:val="28"/>
        </w:rPr>
        <w:t>Звільнення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  <w:r w:rsidRPr="00B53BEC">
        <w:rPr>
          <w:rStyle w:val="Strong"/>
          <w:b w:val="0"/>
          <w:color w:val="000000"/>
          <w:sz w:val="28"/>
          <w:szCs w:val="28"/>
        </w:rPr>
        <w:t>від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  <w:r w:rsidRPr="00B53BEC">
        <w:rPr>
          <w:rStyle w:val="Strong"/>
          <w:b w:val="0"/>
          <w:color w:val="000000"/>
          <w:sz w:val="28"/>
          <w:szCs w:val="28"/>
        </w:rPr>
        <w:t xml:space="preserve">покарання </w:t>
      </w:r>
      <w:r>
        <w:rPr>
          <w:rStyle w:val="Strong"/>
          <w:b w:val="0"/>
          <w:color w:val="000000"/>
          <w:sz w:val="28"/>
          <w:szCs w:val="28"/>
        </w:rPr>
        <w:t xml:space="preserve">– </w:t>
      </w:r>
      <w:r w:rsidRPr="00B53BEC">
        <w:rPr>
          <w:color w:val="000000"/>
          <w:sz w:val="28"/>
          <w:szCs w:val="28"/>
        </w:rPr>
        <w:t>це</w:t>
      </w:r>
      <w:r>
        <w:rPr>
          <w:color w:val="000000"/>
          <w:sz w:val="28"/>
          <w:szCs w:val="28"/>
        </w:rPr>
        <w:t xml:space="preserve"> </w:t>
      </w:r>
      <w:r w:rsidRPr="00B53BEC">
        <w:rPr>
          <w:color w:val="000000"/>
          <w:sz w:val="28"/>
          <w:szCs w:val="28"/>
        </w:rPr>
        <w:t>передбачені законом про кримінальну</w:t>
      </w:r>
      <w:r>
        <w:rPr>
          <w:color w:val="000000"/>
          <w:sz w:val="28"/>
          <w:szCs w:val="28"/>
        </w:rPr>
        <w:t xml:space="preserve"> </w:t>
      </w:r>
      <w:r w:rsidRPr="00B53BEC">
        <w:rPr>
          <w:color w:val="000000"/>
          <w:sz w:val="28"/>
          <w:szCs w:val="28"/>
        </w:rPr>
        <w:t>відповідальність</w:t>
      </w:r>
      <w:r>
        <w:rPr>
          <w:color w:val="000000"/>
          <w:sz w:val="28"/>
          <w:szCs w:val="28"/>
        </w:rPr>
        <w:t xml:space="preserve"> </w:t>
      </w:r>
      <w:r w:rsidRPr="00B53BEC">
        <w:rPr>
          <w:color w:val="000000"/>
          <w:sz w:val="28"/>
          <w:szCs w:val="28"/>
        </w:rPr>
        <w:t>обставини, які</w:t>
      </w:r>
      <w:r>
        <w:rPr>
          <w:color w:val="000000"/>
          <w:sz w:val="28"/>
          <w:szCs w:val="28"/>
        </w:rPr>
        <w:t xml:space="preserve"> </w:t>
      </w:r>
      <w:r w:rsidRPr="00B53BEC">
        <w:rPr>
          <w:color w:val="000000"/>
          <w:sz w:val="28"/>
          <w:szCs w:val="28"/>
        </w:rPr>
        <w:t>уповноважують суд припинити</w:t>
      </w:r>
      <w:r>
        <w:rPr>
          <w:color w:val="000000"/>
          <w:sz w:val="28"/>
          <w:szCs w:val="28"/>
        </w:rPr>
        <w:t xml:space="preserve"> </w:t>
      </w:r>
      <w:r w:rsidRPr="00B53BEC">
        <w:rPr>
          <w:color w:val="000000"/>
          <w:sz w:val="28"/>
          <w:szCs w:val="28"/>
        </w:rPr>
        <w:t>подальше</w:t>
      </w:r>
      <w:r>
        <w:rPr>
          <w:color w:val="000000"/>
          <w:sz w:val="28"/>
          <w:szCs w:val="28"/>
        </w:rPr>
        <w:t xml:space="preserve"> </w:t>
      </w:r>
      <w:r w:rsidRPr="00B53BEC">
        <w:rPr>
          <w:color w:val="000000"/>
          <w:sz w:val="28"/>
          <w:szCs w:val="28"/>
        </w:rPr>
        <w:t>відбування</w:t>
      </w:r>
      <w:r>
        <w:rPr>
          <w:color w:val="000000"/>
          <w:sz w:val="28"/>
          <w:szCs w:val="28"/>
        </w:rPr>
        <w:t xml:space="preserve"> </w:t>
      </w:r>
      <w:r w:rsidRPr="00B53BEC">
        <w:rPr>
          <w:color w:val="000000"/>
          <w:sz w:val="28"/>
          <w:szCs w:val="28"/>
        </w:rPr>
        <w:t>покарання особи, що вчинила злочин.</w:t>
      </w:r>
    </w:p>
    <w:p w:rsidR="00DF61BC" w:rsidRDefault="00DF61BC" w:rsidP="00B53B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53BEC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Звільнення</w:t>
      </w:r>
      <w:r w:rsidRPr="00B53BEC">
        <w:rPr>
          <w:rFonts w:ascii="Times New Roman" w:hAnsi="Times New Roman"/>
          <w:sz w:val="28"/>
          <w:szCs w:val="28"/>
          <w:lang w:val="uk-UA"/>
        </w:rPr>
        <w:t>від покарання через хворобу пов'язане з фактом захворю</w:t>
      </w:r>
      <w:r w:rsidRPr="00B53BEC">
        <w:rPr>
          <w:rFonts w:ascii="Times New Roman" w:hAnsi="Times New Roman"/>
          <w:sz w:val="28"/>
          <w:szCs w:val="28"/>
          <w:lang w:val="uk-UA"/>
        </w:rPr>
        <w:softHyphen/>
        <w:t>вання засудженого, коли подальше відбування покарання стає неможливим і реалізація цілей покарання у зв'язку з цим не має реального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3BE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53BEC">
        <w:rPr>
          <w:rFonts w:ascii="Times New Roman" w:hAnsi="Times New Roman"/>
          <w:sz w:val="28"/>
          <w:szCs w:val="28"/>
        </w:rPr>
        <w:t>]</w:t>
      </w:r>
      <w:r w:rsidRPr="00B53BEC">
        <w:rPr>
          <w:rFonts w:ascii="Times New Roman" w:hAnsi="Times New Roman"/>
          <w:sz w:val="28"/>
          <w:szCs w:val="28"/>
          <w:lang w:val="uk-UA"/>
        </w:rPr>
        <w:t xml:space="preserve">. У контексті кримінально-виконавчого права цей вид звільнення полягає у здійснені кримінально-виконавчою установою або органом певної діяльності, спрямованої на збір та подання до суду документів, які свідчать про наявність у засудженого хвороби, що перешкоджає відбуванню покарання [2]. </w:t>
      </w:r>
    </w:p>
    <w:p w:rsidR="00DF61BC" w:rsidRPr="00B53BEC" w:rsidRDefault="00DF61BC" w:rsidP="00B53BEC">
      <w:pPr>
        <w:spacing w:after="0" w:line="360" w:lineRule="auto"/>
        <w:ind w:firstLine="851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статті 84 </w:t>
      </w:r>
      <w:r w:rsidRPr="00B53BEC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римінального кодексу України (далі - КК) передбачено три самостійних види звільнення від покарання: а) у зв’язку з психічним захворюванням засудженого, що позбавляє його можливості усвідомлювати свої дії чи бездіяльність або керувати ними (ч. 1 ст. 84 КК); б) у зв’язку із захворюванням засудженого на іншу важку хворобу, що перешкоджає відбуванню покарання (ч.2 ст. 84 КК); в) військовослужбовців, засуджених до службових обмежень, арешту або утримання в дисциплінарному батальйоні, у разі визнання їх непридатними до військової служби за станом здоров’я (ч. 3 ст. 84 КК)</w:t>
      </w:r>
      <w:r w:rsidRPr="00B53BEC">
        <w:rPr>
          <w:rFonts w:ascii="Times New Roman" w:hAnsi="Times New Roman"/>
          <w:sz w:val="28"/>
          <w:szCs w:val="28"/>
          <w:lang w:val="uk-UA"/>
        </w:rPr>
        <w:t>[3]</w:t>
      </w:r>
      <w:r w:rsidRPr="00B53BEC">
        <w:rPr>
          <w:rFonts w:ascii="Times New Roman" w:hAnsi="Times New Roman"/>
          <w:color w:val="000000"/>
          <w:sz w:val="28"/>
          <w:szCs w:val="28"/>
          <w:lang w:val="uk-UA"/>
        </w:rPr>
        <w:t xml:space="preserve">. Психічна хвороба, яка позбавляє особу можливості усвідомлювати свої дії (бездіяльність) або керувати ними, не дає їй можливості усвідомлювати і примусовий характер державного впливу на нього, який полягає у позбавленні чи обмеженні прав і свобод особи. </w:t>
      </w:r>
      <w:r w:rsidRPr="00187222">
        <w:rPr>
          <w:rFonts w:ascii="Times New Roman" w:hAnsi="Times New Roman"/>
          <w:color w:val="000000"/>
          <w:sz w:val="28"/>
          <w:szCs w:val="28"/>
          <w:lang w:val="uk-UA"/>
        </w:rPr>
        <w:t>Такі особи звільняються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color w:val="000000"/>
          <w:sz w:val="28"/>
          <w:szCs w:val="28"/>
          <w:lang w:val="uk-UA"/>
        </w:rPr>
        <w:t>від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color w:val="000000"/>
          <w:sz w:val="28"/>
          <w:szCs w:val="28"/>
          <w:lang w:val="uk-UA"/>
        </w:rPr>
        <w:t>покарання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color w:val="000000"/>
          <w:sz w:val="28"/>
          <w:szCs w:val="28"/>
          <w:lang w:val="uk-UA"/>
        </w:rPr>
        <w:t>не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color w:val="000000"/>
          <w:sz w:val="28"/>
          <w:szCs w:val="28"/>
          <w:lang w:val="uk-UA"/>
        </w:rPr>
        <w:t>залежно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color w:val="000000"/>
          <w:sz w:val="28"/>
          <w:szCs w:val="28"/>
          <w:lang w:val="uk-UA"/>
        </w:rPr>
        <w:t>від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color w:val="000000"/>
          <w:sz w:val="28"/>
          <w:szCs w:val="28"/>
          <w:lang w:val="uk-UA"/>
        </w:rPr>
        <w:t>тяжкості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color w:val="000000"/>
          <w:sz w:val="28"/>
          <w:szCs w:val="28"/>
          <w:lang w:val="uk-UA"/>
        </w:rPr>
        <w:t>вчиненого ними злочину, тривалості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color w:val="000000"/>
          <w:sz w:val="28"/>
          <w:szCs w:val="28"/>
          <w:lang w:val="uk-UA"/>
        </w:rPr>
        <w:t>невідбутої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color w:val="000000"/>
          <w:sz w:val="28"/>
          <w:szCs w:val="28"/>
          <w:lang w:val="uk-UA"/>
        </w:rPr>
        <w:t>частини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color w:val="000000"/>
          <w:sz w:val="28"/>
          <w:szCs w:val="28"/>
          <w:lang w:val="uk-UA"/>
        </w:rPr>
        <w:t>покарання, наявності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color w:val="000000"/>
          <w:sz w:val="28"/>
          <w:szCs w:val="28"/>
          <w:lang w:val="uk-UA"/>
        </w:rPr>
        <w:t>порушень режиму та інших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color w:val="000000"/>
          <w:sz w:val="28"/>
          <w:szCs w:val="28"/>
          <w:lang w:val="uk-UA"/>
        </w:rPr>
        <w:t>обставин</w:t>
      </w:r>
      <w:r w:rsidRPr="00187222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87222">
        <w:rPr>
          <w:rFonts w:ascii="Times New Roman" w:hAnsi="Times New Roman"/>
          <w:sz w:val="28"/>
          <w:szCs w:val="28"/>
          <w:lang w:val="uk-UA"/>
        </w:rPr>
        <w:t>]</w:t>
      </w:r>
      <w:r w:rsidRPr="0018722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color w:val="1A1A1A"/>
          <w:sz w:val="28"/>
          <w:szCs w:val="28"/>
          <w:lang w:val="uk-UA"/>
        </w:rPr>
        <w:t xml:space="preserve">Зокрема, </w:t>
      </w:r>
      <w:r>
        <w:rPr>
          <w:rFonts w:ascii="Times New Roman" w:hAnsi="Times New Roman"/>
          <w:color w:val="1A1A1A"/>
          <w:sz w:val="28"/>
          <w:szCs w:val="28"/>
          <w:lang w:val="uk-UA"/>
        </w:rPr>
        <w:t xml:space="preserve">КК </w:t>
      </w:r>
      <w:r w:rsidRPr="00187222">
        <w:rPr>
          <w:rFonts w:ascii="Times New Roman" w:hAnsi="Times New Roman"/>
          <w:color w:val="1A1A1A"/>
          <w:sz w:val="28"/>
          <w:szCs w:val="28"/>
          <w:lang w:val="uk-UA"/>
        </w:rPr>
        <w:t>уможливлює</w:t>
      </w:r>
      <w:r>
        <w:rPr>
          <w:rFonts w:ascii="Times New Roman" w:hAnsi="Times New Roman"/>
          <w:color w:val="1A1A1A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color w:val="1A1A1A"/>
          <w:sz w:val="28"/>
          <w:szCs w:val="28"/>
          <w:lang w:val="uk-UA"/>
        </w:rPr>
        <w:t>звільнення</w:t>
      </w:r>
      <w:r>
        <w:rPr>
          <w:rFonts w:ascii="Times New Roman" w:hAnsi="Times New Roman"/>
          <w:color w:val="1A1A1A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color w:val="1A1A1A"/>
          <w:sz w:val="28"/>
          <w:szCs w:val="28"/>
          <w:lang w:val="uk-UA"/>
        </w:rPr>
        <w:t>лише тих</w:t>
      </w:r>
      <w:r>
        <w:rPr>
          <w:rFonts w:ascii="Times New Roman" w:hAnsi="Times New Roman"/>
          <w:color w:val="1A1A1A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color w:val="1A1A1A"/>
          <w:sz w:val="28"/>
          <w:szCs w:val="28"/>
          <w:lang w:val="uk-UA"/>
        </w:rPr>
        <w:t>засуджених</w:t>
      </w:r>
      <w:r>
        <w:rPr>
          <w:rFonts w:ascii="Times New Roman" w:hAnsi="Times New Roman"/>
          <w:color w:val="1A1A1A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color w:val="1A1A1A"/>
          <w:sz w:val="28"/>
          <w:szCs w:val="28"/>
          <w:lang w:val="uk-UA"/>
        </w:rPr>
        <w:t>від</w:t>
      </w:r>
      <w:r>
        <w:rPr>
          <w:rFonts w:ascii="Times New Roman" w:hAnsi="Times New Roman"/>
          <w:color w:val="1A1A1A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color w:val="1A1A1A"/>
          <w:sz w:val="28"/>
          <w:szCs w:val="28"/>
          <w:lang w:val="uk-UA"/>
        </w:rPr>
        <w:t>покарання, які</w:t>
      </w:r>
      <w:r>
        <w:rPr>
          <w:rFonts w:ascii="Times New Roman" w:hAnsi="Times New Roman"/>
          <w:color w:val="1A1A1A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color w:val="1A1A1A"/>
          <w:sz w:val="28"/>
          <w:szCs w:val="28"/>
          <w:lang w:val="uk-UA"/>
        </w:rPr>
        <w:t>за</w:t>
      </w:r>
      <w:r>
        <w:rPr>
          <w:rFonts w:ascii="Times New Roman" w:hAnsi="Times New Roman"/>
          <w:color w:val="1A1A1A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color w:val="1A1A1A"/>
          <w:sz w:val="28"/>
          <w:szCs w:val="28"/>
          <w:lang w:val="uk-UA"/>
        </w:rPr>
        <w:t>хворіли</w:t>
      </w:r>
      <w:r>
        <w:rPr>
          <w:rFonts w:ascii="Times New Roman" w:hAnsi="Times New Roman"/>
          <w:color w:val="1A1A1A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color w:val="1A1A1A"/>
          <w:sz w:val="28"/>
          <w:szCs w:val="28"/>
          <w:lang w:val="uk-UA"/>
        </w:rPr>
        <w:t>психічною хворобою під час його</w:t>
      </w:r>
      <w:r>
        <w:rPr>
          <w:rFonts w:ascii="Times New Roman" w:hAnsi="Times New Roman"/>
          <w:color w:val="1A1A1A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color w:val="1A1A1A"/>
          <w:sz w:val="28"/>
          <w:szCs w:val="28"/>
          <w:lang w:val="uk-UA"/>
        </w:rPr>
        <w:t xml:space="preserve">відбування. </w:t>
      </w:r>
      <w:r w:rsidRPr="00B53BEC">
        <w:rPr>
          <w:rFonts w:ascii="Times New Roman" w:hAnsi="Times New Roman"/>
          <w:color w:val="1A1A1A"/>
          <w:sz w:val="28"/>
          <w:szCs w:val="28"/>
        </w:rPr>
        <w:t>Що ж до осіб, що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53BEC">
        <w:rPr>
          <w:rFonts w:ascii="Times New Roman" w:hAnsi="Times New Roman"/>
          <w:color w:val="1A1A1A"/>
          <w:sz w:val="28"/>
          <w:szCs w:val="28"/>
        </w:rPr>
        <w:t>захворіли, наприклад, під час вчинення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53BEC">
        <w:rPr>
          <w:rFonts w:ascii="Times New Roman" w:hAnsi="Times New Roman"/>
          <w:color w:val="1A1A1A"/>
          <w:sz w:val="28"/>
          <w:szCs w:val="28"/>
        </w:rPr>
        <w:t>злочину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53BEC">
        <w:rPr>
          <w:rFonts w:ascii="Times New Roman" w:hAnsi="Times New Roman"/>
          <w:color w:val="1A1A1A"/>
          <w:sz w:val="28"/>
          <w:szCs w:val="28"/>
        </w:rPr>
        <w:t>або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53BEC">
        <w:rPr>
          <w:rFonts w:ascii="Times New Roman" w:hAnsi="Times New Roman"/>
          <w:color w:val="1A1A1A"/>
          <w:sz w:val="28"/>
          <w:szCs w:val="28"/>
        </w:rPr>
        <w:t>знаходяться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53BEC">
        <w:rPr>
          <w:rFonts w:ascii="Times New Roman" w:hAnsi="Times New Roman"/>
          <w:color w:val="1A1A1A"/>
          <w:sz w:val="28"/>
          <w:szCs w:val="28"/>
        </w:rPr>
        <w:t>під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53BEC">
        <w:rPr>
          <w:rFonts w:ascii="Times New Roman" w:hAnsi="Times New Roman"/>
          <w:color w:val="1A1A1A"/>
          <w:sz w:val="28"/>
          <w:szCs w:val="28"/>
        </w:rPr>
        <w:t>слідством,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53BEC">
        <w:rPr>
          <w:rFonts w:ascii="Times New Roman" w:hAnsi="Times New Roman"/>
          <w:color w:val="1A1A1A"/>
          <w:sz w:val="28"/>
          <w:szCs w:val="28"/>
        </w:rPr>
        <w:t>чекають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53BEC">
        <w:rPr>
          <w:rFonts w:ascii="Times New Roman" w:hAnsi="Times New Roman"/>
          <w:color w:val="1A1A1A"/>
          <w:sz w:val="28"/>
          <w:szCs w:val="28"/>
        </w:rPr>
        <w:t>виконання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53BEC">
        <w:rPr>
          <w:rFonts w:ascii="Times New Roman" w:hAnsi="Times New Roman"/>
          <w:color w:val="1A1A1A"/>
          <w:sz w:val="28"/>
          <w:szCs w:val="28"/>
        </w:rPr>
        <w:t>вироку, процедура їх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53BEC">
        <w:rPr>
          <w:rFonts w:ascii="Times New Roman" w:hAnsi="Times New Roman"/>
          <w:color w:val="1A1A1A"/>
          <w:sz w:val="28"/>
          <w:szCs w:val="28"/>
        </w:rPr>
        <w:t>вільнення не передбачена</w:t>
      </w:r>
      <w:r>
        <w:rPr>
          <w:rFonts w:ascii="Times New Roman" w:hAnsi="Times New Roman"/>
          <w:color w:val="1A1A1A"/>
          <w:sz w:val="28"/>
          <w:szCs w:val="28"/>
        </w:rPr>
        <w:t xml:space="preserve"> чиним </w:t>
      </w:r>
      <w:r w:rsidRPr="00B53BEC">
        <w:rPr>
          <w:rFonts w:ascii="Times New Roman" w:hAnsi="Times New Roman"/>
          <w:color w:val="1A1A1A"/>
          <w:sz w:val="28"/>
          <w:szCs w:val="28"/>
        </w:rPr>
        <w:t>законодавством.</w:t>
      </w:r>
    </w:p>
    <w:p w:rsidR="00DF61BC" w:rsidRPr="00B53BEC" w:rsidRDefault="00DF61BC" w:rsidP="00402163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lang w:val="uk-UA"/>
        </w:rPr>
        <w:t xml:space="preserve">Звільнення від покарання у зв’язку із захворюванням засудженого на іншу важку хворобу </w:t>
      </w:r>
      <w:r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Pr="00B53BEC">
        <w:rPr>
          <w:color w:val="000000"/>
          <w:sz w:val="28"/>
          <w:szCs w:val="28"/>
          <w:shd w:val="clear" w:color="auto" w:fill="FFFFFF"/>
        </w:rPr>
        <w:t xml:space="preserve">а перший погляд, </w:t>
      </w: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B53BEC">
        <w:rPr>
          <w:color w:val="000000"/>
          <w:sz w:val="28"/>
          <w:szCs w:val="28"/>
          <w:shd w:val="clear" w:color="auto" w:fill="FFFFFF"/>
        </w:rPr>
        <w:t>дається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BEC">
        <w:rPr>
          <w:color w:val="000000"/>
          <w:sz w:val="28"/>
          <w:szCs w:val="28"/>
          <w:shd w:val="clear" w:color="auto" w:fill="FFFFFF"/>
        </w:rPr>
        <w:t>гуманн</w:t>
      </w:r>
      <w:r>
        <w:rPr>
          <w:color w:val="000000"/>
          <w:sz w:val="28"/>
          <w:szCs w:val="28"/>
          <w:shd w:val="clear" w:color="auto" w:fill="FFFFFF"/>
          <w:lang w:val="uk-UA"/>
        </w:rPr>
        <w:t>им</w:t>
      </w:r>
      <w:r w:rsidRPr="00B53BEC">
        <w:rPr>
          <w:color w:val="000000"/>
          <w:sz w:val="28"/>
          <w:szCs w:val="28"/>
          <w:shd w:val="clear" w:color="auto" w:fill="FFFFFF"/>
        </w:rPr>
        <w:t xml:space="preserve"> та так</w:t>
      </w:r>
      <w:r>
        <w:rPr>
          <w:color w:val="000000"/>
          <w:sz w:val="28"/>
          <w:szCs w:val="28"/>
          <w:shd w:val="clear" w:color="auto" w:fill="FFFFFF"/>
          <w:lang w:val="uk-UA"/>
        </w:rPr>
        <w:t>им</w:t>
      </w:r>
      <w:r w:rsidRPr="00B53BEC">
        <w:rPr>
          <w:color w:val="000000"/>
          <w:sz w:val="28"/>
          <w:szCs w:val="28"/>
          <w:shd w:val="clear" w:color="auto" w:fill="FFFFFF"/>
        </w:rPr>
        <w:t>, що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BEC">
        <w:rPr>
          <w:color w:val="000000"/>
          <w:sz w:val="28"/>
          <w:szCs w:val="28"/>
          <w:shd w:val="clear" w:color="auto" w:fill="FFFFFF"/>
        </w:rPr>
        <w:t>може позитивно вплинути на проблему надання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BEC">
        <w:rPr>
          <w:color w:val="000000"/>
          <w:sz w:val="28"/>
          <w:szCs w:val="28"/>
          <w:shd w:val="clear" w:color="auto" w:fill="FFFFFF"/>
        </w:rPr>
        <w:t>медичної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BEC">
        <w:rPr>
          <w:color w:val="000000"/>
          <w:sz w:val="28"/>
          <w:szCs w:val="28"/>
          <w:shd w:val="clear" w:color="auto" w:fill="FFFFFF"/>
        </w:rPr>
        <w:t>допомоги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BEC">
        <w:rPr>
          <w:color w:val="000000"/>
          <w:sz w:val="28"/>
          <w:szCs w:val="28"/>
          <w:shd w:val="clear" w:color="auto" w:fill="FFFFFF"/>
        </w:rPr>
        <w:t>засудженим</w:t>
      </w:r>
      <w:r w:rsidRPr="00B53BEC">
        <w:rPr>
          <w:sz w:val="28"/>
          <w:szCs w:val="28"/>
        </w:rPr>
        <w:t>[1]</w:t>
      </w:r>
      <w:r w:rsidRPr="00B53BEC">
        <w:rPr>
          <w:color w:val="000000"/>
          <w:sz w:val="28"/>
          <w:szCs w:val="28"/>
          <w:shd w:val="clear" w:color="auto" w:fill="FFFFFF"/>
        </w:rPr>
        <w:t>. Однак, на практиці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BEC">
        <w:rPr>
          <w:color w:val="000000"/>
          <w:sz w:val="28"/>
          <w:szCs w:val="28"/>
          <w:shd w:val="clear" w:color="auto" w:fill="FFFFFF"/>
        </w:rPr>
        <w:t>існує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BEC">
        <w:rPr>
          <w:color w:val="000000"/>
          <w:sz w:val="28"/>
          <w:szCs w:val="28"/>
          <w:shd w:val="clear" w:color="auto" w:fill="FFFFFF"/>
        </w:rPr>
        <w:t>безліч проблем, з якими доводиться стикатись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BEC">
        <w:rPr>
          <w:color w:val="000000"/>
          <w:sz w:val="28"/>
          <w:szCs w:val="28"/>
          <w:shd w:val="clear" w:color="auto" w:fill="FFFFFF"/>
        </w:rPr>
        <w:t>засудженим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BEC">
        <w:rPr>
          <w:color w:val="000000"/>
          <w:sz w:val="28"/>
          <w:szCs w:val="28"/>
          <w:shd w:val="clear" w:color="auto" w:fill="FFFFFF"/>
        </w:rPr>
        <w:t xml:space="preserve">хворим в </w:t>
      </w:r>
      <w:r>
        <w:rPr>
          <w:color w:val="000000"/>
          <w:sz w:val="28"/>
          <w:szCs w:val="28"/>
          <w:shd w:val="clear" w:color="auto" w:fill="FFFFFF"/>
        </w:rPr>
        <w:t>процес</w:t>
      </w:r>
      <w:r w:rsidRPr="00B53BEC">
        <w:rPr>
          <w:color w:val="000000"/>
          <w:sz w:val="28"/>
          <w:szCs w:val="28"/>
          <w:shd w:val="clear" w:color="auto" w:fill="FFFFFF"/>
        </w:rPr>
        <w:t>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BEC">
        <w:rPr>
          <w:color w:val="000000"/>
          <w:sz w:val="28"/>
          <w:szCs w:val="28"/>
          <w:shd w:val="clear" w:color="auto" w:fill="FFFFFF"/>
        </w:rPr>
        <w:t>вирішення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BEC">
        <w:rPr>
          <w:color w:val="000000"/>
          <w:sz w:val="28"/>
          <w:szCs w:val="28"/>
          <w:shd w:val="clear" w:color="auto" w:fill="FFFFFF"/>
        </w:rPr>
        <w:t>питання про їх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BEC">
        <w:rPr>
          <w:color w:val="000000"/>
          <w:sz w:val="28"/>
          <w:szCs w:val="28"/>
          <w:shd w:val="clear" w:color="auto" w:fill="FFFFFF"/>
        </w:rPr>
        <w:t xml:space="preserve">звільнення. </w:t>
      </w:r>
      <w:r w:rsidRPr="00B53BEC">
        <w:rPr>
          <w:bCs/>
          <w:sz w:val="28"/>
          <w:szCs w:val="28"/>
          <w:bdr w:val="none" w:sz="0" w:space="0" w:color="auto" w:frame="1"/>
          <w:shd w:val="clear" w:color="auto" w:fill="FFFFFF"/>
        </w:rPr>
        <w:t>Наприклад, засуджені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53BEC">
        <w:rPr>
          <w:bCs/>
          <w:sz w:val="28"/>
          <w:szCs w:val="28"/>
          <w:bdr w:val="none" w:sz="0" w:space="0" w:color="auto" w:frame="1"/>
          <w:shd w:val="clear" w:color="auto" w:fill="FFFFFF"/>
        </w:rPr>
        <w:t>можуть бути звільнені при наявності у них однієї з хвороб, зазначених у Переліку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53BEC">
        <w:rPr>
          <w:bCs/>
          <w:sz w:val="28"/>
          <w:szCs w:val="28"/>
          <w:bdr w:val="none" w:sz="0" w:space="0" w:color="auto" w:frame="1"/>
          <w:shd w:val="clear" w:color="auto" w:fill="FFFFFF"/>
        </w:rPr>
        <w:t>захворювань, які є підставою для подання до суду матеріалів про звільнення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53BEC">
        <w:rPr>
          <w:bCs/>
          <w:sz w:val="28"/>
          <w:szCs w:val="28"/>
          <w:bdr w:val="none" w:sz="0" w:space="0" w:color="auto" w:frame="1"/>
          <w:shd w:val="clear" w:color="auto" w:fill="FFFFFF"/>
        </w:rPr>
        <w:t>засуджених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53BEC">
        <w:rPr>
          <w:bCs/>
          <w:sz w:val="28"/>
          <w:szCs w:val="28"/>
          <w:bdr w:val="none" w:sz="0" w:space="0" w:color="auto" w:frame="1"/>
          <w:shd w:val="clear" w:color="auto" w:fill="FFFFFF"/>
        </w:rPr>
        <w:t>від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53BEC">
        <w:rPr>
          <w:bCs/>
          <w:sz w:val="28"/>
          <w:szCs w:val="28"/>
          <w:bdr w:val="none" w:sz="0" w:space="0" w:color="auto" w:frame="1"/>
          <w:shd w:val="clear" w:color="auto" w:fill="FFFFFF"/>
        </w:rPr>
        <w:t>подальшого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53BEC">
        <w:rPr>
          <w:bCs/>
          <w:sz w:val="28"/>
          <w:szCs w:val="28"/>
          <w:bdr w:val="none" w:sz="0" w:space="0" w:color="auto" w:frame="1"/>
          <w:shd w:val="clear" w:color="auto" w:fill="FFFFFF"/>
        </w:rPr>
        <w:t>відбування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53BEC">
        <w:rPr>
          <w:bCs/>
          <w:sz w:val="28"/>
          <w:szCs w:val="28"/>
          <w:bdr w:val="none" w:sz="0" w:space="0" w:color="auto" w:frame="1"/>
          <w:shd w:val="clear" w:color="auto" w:fill="FFFFFF"/>
        </w:rPr>
        <w:t>покарання,</w:t>
      </w:r>
      <w:r w:rsidRPr="00B53BEC">
        <w:rPr>
          <w:sz w:val="28"/>
          <w:szCs w:val="28"/>
          <w:shd w:val="clear" w:color="auto" w:fill="FFFFFF"/>
        </w:rPr>
        <w:t> затвердженого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спільним наказом Мін’юсту та МОЗ України №1348/5/572 </w:t>
      </w:r>
      <w:hyperlink r:id="rId4" w:anchor="n249" w:history="1">
        <w:r w:rsidRPr="00B53BEC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(далі-Перелік),</w:t>
        </w:r>
      </w:hyperlink>
      <w:r w:rsidRPr="00B53BEC">
        <w:rPr>
          <w:sz w:val="28"/>
          <w:szCs w:val="28"/>
        </w:rPr>
        <w:t xml:space="preserve"> але з</w:t>
      </w:r>
      <w:r w:rsidRPr="00B53BEC">
        <w:rPr>
          <w:sz w:val="28"/>
          <w:szCs w:val="28"/>
          <w:shd w:val="clear" w:color="auto" w:fill="FFFFFF"/>
        </w:rPr>
        <w:t>гідно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цього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Переліку, захворювання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мають набути своїх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останніх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або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передостанніх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стадій (термінальні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стадії) і давати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ускладнення на інші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органи та системи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організму для того, щоб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вважатись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підставою для звільнення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засудженого</w:t>
      </w:r>
      <w:r w:rsidRPr="00B53BEC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7</w:t>
      </w:r>
      <w:r w:rsidRPr="00B53BEC">
        <w:rPr>
          <w:sz w:val="28"/>
          <w:szCs w:val="28"/>
        </w:rPr>
        <w:t>; 1]</w:t>
      </w:r>
      <w:r w:rsidRPr="00B53BE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Тобото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від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покарання таких осіб усе ж звільнять але у майже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передсмертному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стані. Недоречним є такожте, що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суди звертають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увагу на особу засудженого, тобто на найого характеристику вирішуючи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питання про звільнення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від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подальшого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відбування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покарання. Так Постанова Пленуму ВСУ </w:t>
      </w:r>
      <w:hyperlink r:id="rId5" w:history="1">
        <w:r w:rsidRPr="00B53BEC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«Про практику застосування судами законодавства про звільнення</w:t>
        </w:r>
        <w:r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B53BEC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відвідбування</w:t>
        </w:r>
        <w:r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B53BEC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покарання</w:t>
        </w:r>
        <w:r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B53BEC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засуджених, які</w:t>
        </w:r>
        <w:r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B53BEC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 xml:space="preserve">захворіли на тяжку хворобу» </w:t>
        </w:r>
      </w:hyperlink>
      <w:r w:rsidRPr="00B53BEC">
        <w:rPr>
          <w:sz w:val="28"/>
          <w:szCs w:val="28"/>
          <w:shd w:val="clear" w:color="auto" w:fill="FFFFFF"/>
        </w:rPr>
        <w:t> зобов`язує суд враховувати, окрім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тяжкості</w:t>
      </w:r>
      <w:r>
        <w:rPr>
          <w:sz w:val="28"/>
          <w:szCs w:val="28"/>
          <w:shd w:val="clear" w:color="auto" w:fill="FFFFFF"/>
        </w:rPr>
        <w:t xml:space="preserve"> вчиненного </w:t>
      </w:r>
      <w:r w:rsidRPr="00B53BEC">
        <w:rPr>
          <w:sz w:val="28"/>
          <w:szCs w:val="28"/>
          <w:shd w:val="clear" w:color="auto" w:fill="FFFFFF"/>
        </w:rPr>
        <w:t>злочину,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про що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було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згадано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вище, поведінку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засудженого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під час відбування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покарання, ставлення до праці, ступінь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його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виправлення та інші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обставини</w:t>
      </w:r>
      <w:r w:rsidRPr="00B53BEC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8</w:t>
      </w:r>
      <w:r w:rsidRPr="00B53BEC">
        <w:rPr>
          <w:sz w:val="28"/>
          <w:szCs w:val="28"/>
        </w:rPr>
        <w:t>]</w:t>
      </w:r>
      <w:r w:rsidRPr="00B53BEC">
        <w:rPr>
          <w:sz w:val="28"/>
          <w:szCs w:val="28"/>
          <w:shd w:val="clear" w:color="auto" w:fill="FFFFFF"/>
        </w:rPr>
        <w:t>. Хіба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що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будуть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враховуватися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обставини, які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мали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>місце до того, як особа захворіла натяжку хворобу але і цей факт здається</w:t>
      </w:r>
      <w:r>
        <w:rPr>
          <w:sz w:val="28"/>
          <w:szCs w:val="28"/>
          <w:shd w:val="clear" w:color="auto" w:fill="FFFFFF"/>
        </w:rPr>
        <w:t xml:space="preserve"> </w:t>
      </w:r>
      <w:r w:rsidRPr="00B53BEC">
        <w:rPr>
          <w:sz w:val="28"/>
          <w:szCs w:val="28"/>
          <w:shd w:val="clear" w:color="auto" w:fill="FFFFFF"/>
        </w:rPr>
        <w:t xml:space="preserve">абсурдним. </w:t>
      </w:r>
      <w:r w:rsidRPr="00B53BEC">
        <w:rPr>
          <w:color w:val="000000"/>
          <w:sz w:val="28"/>
          <w:szCs w:val="28"/>
          <w:shd w:val="clear" w:color="auto" w:fill="FFFFFF"/>
        </w:rPr>
        <w:t>Однак, існують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BEC">
        <w:rPr>
          <w:color w:val="000000"/>
          <w:sz w:val="28"/>
          <w:szCs w:val="28"/>
          <w:shd w:val="clear" w:color="auto" w:fill="FFFFFF"/>
        </w:rPr>
        <w:t>випадки, коли суд все таки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BEC">
        <w:rPr>
          <w:color w:val="000000"/>
          <w:sz w:val="28"/>
          <w:szCs w:val="28"/>
          <w:shd w:val="clear" w:color="auto" w:fill="FFFFFF"/>
        </w:rPr>
        <w:t>відмовляється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BEC">
        <w:rPr>
          <w:color w:val="000000"/>
          <w:sz w:val="28"/>
          <w:szCs w:val="28"/>
          <w:shd w:val="clear" w:color="auto" w:fill="FFFFFF"/>
        </w:rPr>
        <w:t>звільнити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BEC">
        <w:rPr>
          <w:color w:val="000000"/>
          <w:sz w:val="28"/>
          <w:szCs w:val="28"/>
          <w:shd w:val="clear" w:color="auto" w:fill="FFFFFF"/>
        </w:rPr>
        <w:t>засудженого через те, що, наприклад, «хворий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BEC">
        <w:rPr>
          <w:color w:val="000000"/>
          <w:sz w:val="28"/>
          <w:szCs w:val="28"/>
          <w:shd w:val="clear" w:color="auto" w:fill="FFFFFF"/>
        </w:rPr>
        <w:t>був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BEC">
        <w:rPr>
          <w:color w:val="000000"/>
          <w:sz w:val="28"/>
          <w:szCs w:val="28"/>
          <w:shd w:val="clear" w:color="auto" w:fill="FFFFFF"/>
        </w:rPr>
        <w:t>засуджений за особливо тяжкий умисний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BEC">
        <w:rPr>
          <w:color w:val="000000"/>
          <w:sz w:val="28"/>
          <w:szCs w:val="28"/>
          <w:shd w:val="clear" w:color="auto" w:fill="FFFFFF"/>
        </w:rPr>
        <w:t>злочин, раніше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BEC">
        <w:rPr>
          <w:color w:val="000000"/>
          <w:sz w:val="28"/>
          <w:szCs w:val="28"/>
          <w:shd w:val="clear" w:color="auto" w:fill="FFFFFF"/>
        </w:rPr>
        <w:t>неодноразово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BEC">
        <w:rPr>
          <w:color w:val="000000"/>
          <w:sz w:val="28"/>
          <w:szCs w:val="28"/>
          <w:shd w:val="clear" w:color="auto" w:fill="FFFFFF"/>
        </w:rPr>
        <w:t>притягався до кримінальної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BEC">
        <w:rPr>
          <w:color w:val="000000"/>
          <w:sz w:val="28"/>
          <w:szCs w:val="28"/>
          <w:shd w:val="clear" w:color="auto" w:fill="FFFFFF"/>
        </w:rPr>
        <w:t>відповідальності, на шлях виправлення не став»</w:t>
      </w:r>
      <w:r w:rsidRPr="00B53BEC">
        <w:rPr>
          <w:sz w:val="28"/>
          <w:szCs w:val="28"/>
        </w:rPr>
        <w:t xml:space="preserve"> [</w:t>
      </w:r>
      <w:r>
        <w:rPr>
          <w:sz w:val="28"/>
          <w:szCs w:val="28"/>
          <w:lang w:val="uk-UA"/>
        </w:rPr>
        <w:t>9</w:t>
      </w:r>
      <w:r w:rsidRPr="00B53BEC">
        <w:rPr>
          <w:sz w:val="28"/>
          <w:szCs w:val="28"/>
        </w:rPr>
        <w:t>].</w:t>
      </w:r>
    </w:p>
    <w:p w:rsidR="00DF61BC" w:rsidRPr="00A25700" w:rsidRDefault="00DF61BC" w:rsidP="0040216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Emphasis"/>
          <w:i w:val="0"/>
          <w:color w:val="000000"/>
          <w:sz w:val="28"/>
          <w:szCs w:val="28"/>
          <w:lang w:val="uk-UA"/>
        </w:rPr>
        <w:t xml:space="preserve">Що ж до </w:t>
      </w:r>
      <w:r w:rsidRPr="00B53BEC">
        <w:rPr>
          <w:rStyle w:val="Emphasis"/>
          <w:i w:val="0"/>
          <w:color w:val="000000"/>
          <w:sz w:val="28"/>
          <w:szCs w:val="28"/>
        </w:rPr>
        <w:t>засудженого</w:t>
      </w:r>
      <w:r>
        <w:rPr>
          <w:rStyle w:val="Emphasis"/>
          <w:i w:val="0"/>
          <w:color w:val="000000"/>
          <w:sz w:val="28"/>
          <w:szCs w:val="28"/>
        </w:rPr>
        <w:t xml:space="preserve"> </w:t>
      </w:r>
      <w:r w:rsidRPr="00B53BEC">
        <w:rPr>
          <w:rStyle w:val="Emphasis"/>
          <w:i w:val="0"/>
          <w:color w:val="000000"/>
          <w:sz w:val="28"/>
          <w:szCs w:val="28"/>
        </w:rPr>
        <w:t>військовослужбовця</w:t>
      </w:r>
      <w:r>
        <w:rPr>
          <w:rStyle w:val="Emphasis"/>
          <w:i w:val="0"/>
          <w:color w:val="000000"/>
          <w:sz w:val="28"/>
          <w:szCs w:val="28"/>
        </w:rPr>
        <w:t xml:space="preserve"> </w:t>
      </w:r>
      <w:r>
        <w:rPr>
          <w:rStyle w:val="Emphasis"/>
          <w:i w:val="0"/>
          <w:color w:val="000000"/>
          <w:sz w:val="28"/>
          <w:szCs w:val="28"/>
          <w:lang w:val="uk-UA"/>
        </w:rPr>
        <w:t>його з</w:t>
      </w:r>
      <w:r w:rsidRPr="00B53BEC">
        <w:rPr>
          <w:rStyle w:val="Emphasis"/>
          <w:i w:val="0"/>
          <w:color w:val="000000"/>
          <w:sz w:val="28"/>
          <w:szCs w:val="28"/>
        </w:rPr>
        <w:t>ахворюванняможе і не бути тяжким. Важливим є те, що</w:t>
      </w:r>
      <w:r>
        <w:rPr>
          <w:rStyle w:val="Emphasis"/>
          <w:i w:val="0"/>
          <w:color w:val="000000"/>
          <w:sz w:val="28"/>
          <w:szCs w:val="28"/>
        </w:rPr>
        <w:t xml:space="preserve"> </w:t>
      </w:r>
      <w:r w:rsidRPr="00B53BEC">
        <w:rPr>
          <w:rStyle w:val="Emphasis"/>
          <w:i w:val="0"/>
          <w:color w:val="000000"/>
          <w:sz w:val="28"/>
          <w:szCs w:val="28"/>
        </w:rPr>
        <w:t>воно</w:t>
      </w:r>
      <w:r>
        <w:rPr>
          <w:rStyle w:val="Emphasis"/>
          <w:i w:val="0"/>
          <w:color w:val="000000"/>
          <w:sz w:val="28"/>
          <w:szCs w:val="28"/>
        </w:rPr>
        <w:t xml:space="preserve"> </w:t>
      </w:r>
      <w:r w:rsidRPr="00B53BEC">
        <w:rPr>
          <w:rStyle w:val="Emphasis"/>
          <w:i w:val="0"/>
          <w:color w:val="000000"/>
          <w:sz w:val="28"/>
          <w:szCs w:val="28"/>
        </w:rPr>
        <w:t>робить</w:t>
      </w:r>
      <w:r>
        <w:rPr>
          <w:rStyle w:val="Emphasis"/>
          <w:i w:val="0"/>
          <w:color w:val="000000"/>
          <w:sz w:val="28"/>
          <w:szCs w:val="28"/>
        </w:rPr>
        <w:t xml:space="preserve"> </w:t>
      </w:r>
      <w:r w:rsidRPr="00B53BEC">
        <w:rPr>
          <w:rStyle w:val="Emphasis"/>
          <w:i w:val="0"/>
          <w:color w:val="000000"/>
          <w:sz w:val="28"/>
          <w:szCs w:val="28"/>
        </w:rPr>
        <w:t>його</w:t>
      </w:r>
      <w:r>
        <w:rPr>
          <w:rStyle w:val="Emphasis"/>
          <w:i w:val="0"/>
          <w:color w:val="000000"/>
          <w:sz w:val="28"/>
          <w:szCs w:val="28"/>
        </w:rPr>
        <w:t xml:space="preserve"> </w:t>
      </w:r>
      <w:r w:rsidRPr="00B53BEC">
        <w:rPr>
          <w:rStyle w:val="Emphasis"/>
          <w:i w:val="0"/>
          <w:color w:val="000000"/>
          <w:sz w:val="28"/>
          <w:szCs w:val="28"/>
        </w:rPr>
        <w:t>н</w:t>
      </w:r>
      <w:r>
        <w:rPr>
          <w:rStyle w:val="Emphasis"/>
          <w:i w:val="0"/>
          <w:color w:val="000000"/>
          <w:sz w:val="28"/>
          <w:szCs w:val="28"/>
        </w:rPr>
        <w:t>епридатним до військової служб</w:t>
      </w:r>
      <w:r>
        <w:rPr>
          <w:rStyle w:val="Emphasis"/>
          <w:i w:val="0"/>
          <w:color w:val="000000"/>
          <w:sz w:val="28"/>
          <w:szCs w:val="28"/>
          <w:lang w:val="uk-UA"/>
        </w:rPr>
        <w:t xml:space="preserve">и. </w:t>
      </w:r>
      <w:r w:rsidRPr="00A25700">
        <w:rPr>
          <w:rStyle w:val="Emphasis"/>
          <w:i w:val="0"/>
          <w:color w:val="000000"/>
          <w:sz w:val="28"/>
          <w:szCs w:val="28"/>
          <w:lang w:val="uk-UA"/>
        </w:rPr>
        <w:t xml:space="preserve">Така непридатність, наприклад, для військовослужбовців Збройних Сил України визначається на підставі Розкладу хвороб, станів і фізичних вад, що визначають ступінь придатності до військової служби у </w:t>
      </w:r>
      <w:r>
        <w:rPr>
          <w:rStyle w:val="Emphasis"/>
          <w:i w:val="0"/>
          <w:color w:val="000000"/>
          <w:sz w:val="28"/>
          <w:szCs w:val="28"/>
          <w:lang w:val="uk-UA"/>
        </w:rPr>
        <w:t xml:space="preserve">ЗСУ </w:t>
      </w:r>
      <w:r w:rsidRPr="00A25700">
        <w:rPr>
          <w:rStyle w:val="Emphasis"/>
          <w:i w:val="0"/>
          <w:color w:val="000000"/>
          <w:sz w:val="28"/>
          <w:szCs w:val="28"/>
          <w:lang w:val="uk-UA"/>
        </w:rPr>
        <w:t>(далі - розклад хвороб)</w:t>
      </w:r>
      <w:r w:rsidRPr="00A25700">
        <w:rPr>
          <w:sz w:val="28"/>
          <w:szCs w:val="28"/>
          <w:lang w:val="uk-UA"/>
        </w:rPr>
        <w:t xml:space="preserve"> [</w:t>
      </w:r>
      <w:r>
        <w:rPr>
          <w:sz w:val="28"/>
          <w:szCs w:val="28"/>
          <w:lang w:val="uk-UA"/>
        </w:rPr>
        <w:t>4</w:t>
      </w:r>
      <w:r w:rsidRPr="00A25700">
        <w:rPr>
          <w:sz w:val="28"/>
          <w:szCs w:val="28"/>
          <w:lang w:val="uk-UA"/>
        </w:rPr>
        <w:t>]</w:t>
      </w:r>
      <w:r>
        <w:rPr>
          <w:rStyle w:val="Emphasis"/>
          <w:i w:val="0"/>
          <w:color w:val="000000"/>
          <w:sz w:val="28"/>
          <w:szCs w:val="28"/>
          <w:lang w:val="uk-UA"/>
        </w:rPr>
        <w:t>,до них належать</w:t>
      </w:r>
      <w:r w:rsidRPr="00A25700">
        <w:rPr>
          <w:rStyle w:val="Emphasis"/>
          <w:i w:val="0"/>
          <w:color w:val="000000"/>
          <w:sz w:val="28"/>
          <w:szCs w:val="28"/>
          <w:lang w:val="uk-UA"/>
        </w:rPr>
        <w:t xml:space="preserve">: </w:t>
      </w:r>
      <w:r w:rsidRPr="00A25700">
        <w:rPr>
          <w:color w:val="000000"/>
          <w:sz w:val="28"/>
          <w:szCs w:val="28"/>
          <w:shd w:val="clear" w:color="auto" w:fill="FFFFFF"/>
          <w:lang w:val="uk-UA"/>
        </w:rPr>
        <w:t xml:space="preserve">деякі інфекційні та паразитарні хвороби, новоутворення, хвороби крові і кровотворних органів та окремі порушення з залученням імунного механізму, розлади психіки та поведінки, хвороби нервової системи, </w:t>
      </w:r>
      <w:r>
        <w:rPr>
          <w:color w:val="000000"/>
          <w:sz w:val="28"/>
          <w:szCs w:val="28"/>
          <w:shd w:val="clear" w:color="auto" w:fill="FFFFFF"/>
          <w:lang w:val="uk-UA"/>
        </w:rPr>
        <w:t>тощо</w:t>
      </w:r>
      <w:r w:rsidRPr="00A25700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6</w:t>
      </w:r>
      <w:r w:rsidRPr="00A25700">
        <w:rPr>
          <w:sz w:val="28"/>
          <w:szCs w:val="28"/>
          <w:lang w:val="uk-UA"/>
        </w:rPr>
        <w:t>]</w:t>
      </w:r>
      <w:r w:rsidRPr="00A2570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F61BC" w:rsidRPr="00B53BEC" w:rsidRDefault="00DF61BC" w:rsidP="0040216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n471"/>
      <w:bookmarkEnd w:id="0"/>
      <w:r w:rsidRPr="00B53BEC">
        <w:rPr>
          <w:rFonts w:ascii="Times New Roman" w:hAnsi="Times New Roman"/>
          <w:sz w:val="28"/>
          <w:szCs w:val="28"/>
          <w:lang w:val="uk-UA"/>
        </w:rPr>
        <w:t>Відповідно до ч. 4 ст. 84 у разі одужання особи, яка захворіла на психічну або іншу тяжку хворобу, що перешкоджає відбуванню покарання, вона по</w:t>
      </w:r>
      <w:r w:rsidRPr="00B53BEC">
        <w:rPr>
          <w:rFonts w:ascii="Times New Roman" w:hAnsi="Times New Roman"/>
          <w:sz w:val="28"/>
          <w:szCs w:val="28"/>
          <w:lang w:val="uk-UA"/>
        </w:rPr>
        <w:softHyphen/>
        <w:t>винна бути направлена для відбування покарання, призначеного за вироком суду, за певних умов, а саме: - якщо не закінчилися строки давності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B53BEC">
        <w:rPr>
          <w:rFonts w:ascii="Times New Roman" w:hAnsi="Times New Roman"/>
          <w:sz w:val="28"/>
          <w:szCs w:val="28"/>
          <w:lang w:val="uk-UA"/>
        </w:rPr>
        <w:t>ст. 49</w:t>
      </w:r>
      <w:r>
        <w:rPr>
          <w:rFonts w:ascii="Times New Roman" w:hAnsi="Times New Roman"/>
          <w:sz w:val="28"/>
          <w:szCs w:val="28"/>
          <w:lang w:val="uk-UA"/>
        </w:rPr>
        <w:t>, 80)</w:t>
      </w:r>
      <w:r w:rsidRPr="00B53BEC">
        <w:rPr>
          <w:rFonts w:ascii="Times New Roman" w:hAnsi="Times New Roman"/>
          <w:sz w:val="28"/>
          <w:szCs w:val="28"/>
          <w:lang w:val="uk-UA"/>
        </w:rPr>
        <w:t>; - якщо відсутні інші підстави для звільнення від покарання</w:t>
      </w:r>
      <w:r w:rsidRPr="00B53BE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53BEC">
        <w:rPr>
          <w:rFonts w:ascii="Times New Roman" w:hAnsi="Times New Roman"/>
          <w:sz w:val="28"/>
          <w:szCs w:val="28"/>
        </w:rPr>
        <w:t>]</w:t>
      </w:r>
      <w:r w:rsidRPr="00B53BEC">
        <w:rPr>
          <w:rFonts w:ascii="Times New Roman" w:hAnsi="Times New Roman"/>
          <w:sz w:val="28"/>
          <w:szCs w:val="28"/>
          <w:lang w:val="uk-UA"/>
        </w:rPr>
        <w:t>. Підставами, що перешкоджають направленню особи після одужання для реального відбування покарання, є: а) особа засуджена за діяння, караність якого в період строку хвороби законом усунута (ч. 2 ст. 74 КК); б) в період строку хвороби прийнятий закон про амністію чи акт про помилування (статті 85- 87 КК); в) у зв'язку з втратою особою суспільної небезпечності (ч. 4 ст. 74 КК); г) у зв'язку зі звільненням від відбування покаран</w:t>
      </w:r>
      <w:r>
        <w:rPr>
          <w:rFonts w:ascii="Times New Roman" w:hAnsi="Times New Roman"/>
          <w:sz w:val="28"/>
          <w:szCs w:val="28"/>
          <w:lang w:val="uk-UA"/>
        </w:rPr>
        <w:t>ня з випробу</w:t>
      </w:r>
      <w:r>
        <w:rPr>
          <w:rFonts w:ascii="Times New Roman" w:hAnsi="Times New Roman"/>
          <w:sz w:val="28"/>
          <w:szCs w:val="28"/>
          <w:lang w:val="uk-UA"/>
        </w:rPr>
        <w:softHyphen/>
        <w:t>ванням (ст. 75 КК)тощо</w:t>
      </w:r>
      <w:r w:rsidRPr="00B53BEC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53BEC">
        <w:rPr>
          <w:rFonts w:ascii="Times New Roman" w:hAnsi="Times New Roman"/>
          <w:sz w:val="28"/>
          <w:szCs w:val="28"/>
          <w:lang w:val="uk-UA"/>
        </w:rPr>
        <w:t>; 3].</w:t>
      </w:r>
    </w:p>
    <w:p w:rsidR="00DF61BC" w:rsidRPr="00B53BEC" w:rsidRDefault="00DF61BC" w:rsidP="0040216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7222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sz w:val="28"/>
          <w:szCs w:val="28"/>
          <w:lang w:val="uk-UA"/>
        </w:rPr>
        <w:t>огляду на вищесказане, ми ді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187222">
        <w:rPr>
          <w:rFonts w:ascii="Times New Roman" w:hAnsi="Times New Roman"/>
          <w:sz w:val="28"/>
          <w:szCs w:val="28"/>
          <w:lang w:val="uk-UA"/>
        </w:rPr>
        <w:t>шли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222">
        <w:rPr>
          <w:rFonts w:ascii="Times New Roman" w:hAnsi="Times New Roman"/>
          <w:sz w:val="28"/>
          <w:szCs w:val="28"/>
          <w:lang w:val="uk-UA"/>
        </w:rPr>
        <w:t>висновку, 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3BEC">
        <w:rPr>
          <w:rFonts w:ascii="Times New Roman" w:hAnsi="Times New Roman"/>
          <w:sz w:val="28"/>
          <w:szCs w:val="28"/>
          <w:lang w:val="uk-UA"/>
        </w:rPr>
        <w:t>звільнення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222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>від</w:t>
      </w:r>
      <w:r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87222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>покарання за хворобою має</w:t>
      </w:r>
      <w:r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87222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>місце</w:t>
      </w:r>
      <w:r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87222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>лише у випадках, коли через хворобу особи, яка вчинила злочин, досягнення мети покарання</w:t>
      </w:r>
      <w:r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87222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>є неможливим.</w:t>
      </w:r>
      <w:r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3BEC">
        <w:rPr>
          <w:rFonts w:ascii="Times New Roman" w:hAnsi="Times New Roman"/>
          <w:sz w:val="28"/>
          <w:szCs w:val="28"/>
          <w:lang w:val="uk-UA"/>
        </w:rPr>
        <w:t>Але нажаль реалії сьогодення показують, що приписи законодавства 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3BEC">
        <w:rPr>
          <w:rFonts w:ascii="Times New Roman" w:hAnsi="Times New Roman"/>
          <w:sz w:val="28"/>
          <w:szCs w:val="28"/>
          <w:lang w:val="uk-UA"/>
        </w:rPr>
        <w:t>виконуються в повній мірі</w:t>
      </w:r>
      <w:r>
        <w:rPr>
          <w:rFonts w:ascii="Times New Roman" w:hAnsi="Times New Roman"/>
          <w:sz w:val="28"/>
          <w:szCs w:val="28"/>
          <w:lang w:val="uk-UA"/>
        </w:rPr>
        <w:t xml:space="preserve"> і частими є випадки, коли таких осіб не звільняють від покарання</w:t>
      </w:r>
      <w:r w:rsidRPr="00B53BEC">
        <w:rPr>
          <w:rFonts w:ascii="Times New Roman" w:hAnsi="Times New Roman"/>
          <w:sz w:val="28"/>
          <w:szCs w:val="28"/>
          <w:lang w:val="uk-UA"/>
        </w:rPr>
        <w:t>, що призводить до  великої смертності засуджених в установах виконання покарань, викликаної в першу чергу неналежною медичною допомогою, яка надається таким особам.</w:t>
      </w:r>
    </w:p>
    <w:p w:rsidR="00DF61BC" w:rsidRPr="00B53BEC" w:rsidRDefault="00DF61BC" w:rsidP="0040216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F61BC" w:rsidRPr="00B53BEC" w:rsidRDefault="00DF61BC" w:rsidP="00500771">
      <w:pPr>
        <w:pStyle w:val="ListParagraph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B53BEC">
        <w:rPr>
          <w:rFonts w:ascii="Times New Roman" w:hAnsi="Times New Roman"/>
          <w:sz w:val="28"/>
          <w:szCs w:val="28"/>
          <w:lang w:val="uk-UA"/>
        </w:rPr>
        <w:t>Література:</w:t>
      </w:r>
    </w:p>
    <w:p w:rsidR="00DF61BC" w:rsidRPr="00B53BEC" w:rsidRDefault="00DF61BC" w:rsidP="004021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3BEC">
        <w:rPr>
          <w:rFonts w:ascii="Times New Roman" w:hAnsi="Times New Roman"/>
          <w:sz w:val="28"/>
          <w:szCs w:val="28"/>
          <w:lang w:val="uk-UA"/>
        </w:rPr>
        <w:t>1.</w:t>
      </w:r>
      <w:r w:rsidRPr="00B53BEC">
        <w:rPr>
          <w:rFonts w:ascii="Times New Roman" w:hAnsi="Times New Roman"/>
          <w:sz w:val="28"/>
          <w:szCs w:val="28"/>
        </w:rPr>
        <w:t>Василь Мельничук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BEC">
        <w:rPr>
          <w:rFonts w:ascii="Times New Roman" w:hAnsi="Times New Roman"/>
          <w:sz w:val="28"/>
          <w:szCs w:val="28"/>
        </w:rPr>
        <w:t>/ Дозвіл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BEC">
        <w:rPr>
          <w:rFonts w:ascii="Times New Roman" w:hAnsi="Times New Roman"/>
          <w:sz w:val="28"/>
          <w:szCs w:val="28"/>
        </w:rPr>
        <w:t>померти на волі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BE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BEC">
        <w:rPr>
          <w:rFonts w:ascii="Times New Roman" w:hAnsi="Times New Roman"/>
          <w:sz w:val="28"/>
          <w:szCs w:val="28"/>
        </w:rPr>
        <w:t xml:space="preserve">Генадій Токарев, Федір Данильченко/ [Електронний ресурс] - Режим доступу : </w:t>
      </w:r>
      <w:hyperlink r:id="rId6" w:history="1">
        <w:r w:rsidRPr="00B53B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http://khpg.org/index.php?id=1496056348</w:t>
        </w:r>
      </w:hyperlink>
    </w:p>
    <w:p w:rsidR="00DF61BC" w:rsidRPr="00B53BEC" w:rsidRDefault="00DF61BC" w:rsidP="004021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3BEC">
        <w:rPr>
          <w:rFonts w:ascii="Times New Roman" w:hAnsi="Times New Roman"/>
          <w:sz w:val="28"/>
          <w:szCs w:val="28"/>
          <w:lang w:val="uk-UA"/>
        </w:rPr>
        <w:t>2.</w:t>
      </w:r>
      <w:r w:rsidRPr="00B53BEC">
        <w:rPr>
          <w:rStyle w:val="Emphasis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Звільнення</w:t>
      </w:r>
      <w:r w:rsidRPr="00B53BEC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B53BEC">
        <w:rPr>
          <w:rFonts w:ascii="Times New Roman" w:hAnsi="Times New Roman"/>
          <w:sz w:val="28"/>
          <w:szCs w:val="28"/>
          <w:shd w:val="clear" w:color="auto" w:fill="FFFFFF"/>
        </w:rPr>
        <w:t>від </w:t>
      </w:r>
      <w:r w:rsidRPr="00B53BEC">
        <w:rPr>
          <w:rStyle w:val="Emphasis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відбування</w:t>
      </w:r>
      <w:r>
        <w:rPr>
          <w:rStyle w:val="Emphasis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B53BEC">
        <w:rPr>
          <w:rStyle w:val="Emphasis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покарання за хворобою</w:t>
      </w:r>
      <w:r w:rsidRPr="00B53BEC">
        <w:rPr>
          <w:rFonts w:ascii="Times New Roman" w:hAnsi="Times New Roman"/>
          <w:i/>
          <w:sz w:val="28"/>
          <w:szCs w:val="28"/>
          <w:shd w:val="clear" w:color="auto" w:fill="FFFFFF"/>
        </w:rPr>
        <w:t>: </w:t>
      </w:r>
      <w:r w:rsidRPr="00B53BEC">
        <w:rPr>
          <w:rStyle w:val="Emphasis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теоретичні</w:t>
      </w:r>
      <w:r w:rsidRPr="00B53BEC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B53BEC"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 w:rsidRPr="00B53BEC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B53BEC">
        <w:rPr>
          <w:rStyle w:val="Emphasis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практичні</w:t>
      </w:r>
      <w:r>
        <w:rPr>
          <w:rStyle w:val="Emphasis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B53BEC">
        <w:rPr>
          <w:rStyle w:val="Emphasis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питання</w:t>
      </w:r>
      <w:r w:rsidRPr="00B53BEC">
        <w:rPr>
          <w:rFonts w:ascii="Times New Roman" w:hAnsi="Times New Roman"/>
          <w:i/>
          <w:sz w:val="28"/>
          <w:szCs w:val="28"/>
          <w:shd w:val="clear" w:color="auto" w:fill="FFFFFF"/>
        </w:rPr>
        <w:t> /</w:t>
      </w:r>
      <w:r w:rsidRPr="00B53BEC">
        <w:rPr>
          <w:rFonts w:ascii="Times New Roman" w:hAnsi="Times New Roman"/>
          <w:sz w:val="28"/>
          <w:szCs w:val="28"/>
          <w:shd w:val="clear" w:color="auto" w:fill="FFFFFF"/>
        </w:rPr>
        <w:t xml:space="preserve"> М. В. Романов. // Теорія і практика правознавства. - 2013. -Вип. 2. - Режим доступу: http://nbuv.gov.ua/UJRN/tipp_2013_2_52.</w:t>
      </w:r>
    </w:p>
    <w:p w:rsidR="00DF61BC" w:rsidRPr="00B53BEC" w:rsidRDefault="00DF61BC" w:rsidP="0040216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53BEC">
        <w:rPr>
          <w:rFonts w:ascii="Times New Roman" w:hAnsi="Times New Roman"/>
          <w:sz w:val="28"/>
          <w:szCs w:val="28"/>
          <w:lang w:val="uk-UA"/>
        </w:rPr>
        <w:t>3. Кримінальний кодекс України: Кодекс України, Кодекс, Закон від 05.04.2001 № 2341-III // Відомості Верховної Ради України, 2001, № 25-26, ст.131</w:t>
      </w:r>
    </w:p>
    <w:p w:rsidR="00DF61BC" w:rsidRPr="00B53BEC" w:rsidRDefault="00DF61BC" w:rsidP="0040216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53BEC">
        <w:rPr>
          <w:rStyle w:val="Emphasis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4.</w:t>
      </w:r>
      <w:r w:rsidRPr="00B53BEC">
        <w:rPr>
          <w:rFonts w:ascii="Times New Roman" w:hAnsi="Times New Roman"/>
          <w:sz w:val="28"/>
          <w:szCs w:val="28"/>
          <w:lang w:val="uk-UA"/>
        </w:rPr>
        <w:t>Науково-практичний коментар до Кримінального Кодексу / [Електронний ресурс] - Режим доступу:</w:t>
      </w:r>
      <w:hyperlink r:id="rId7" w:history="1">
        <w:r w:rsidRPr="00B53B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http://www.pravoznavec.com.ua/books/162/28/</w:t>
        </w:r>
      </w:hyperlink>
    </w:p>
    <w:p w:rsidR="00DF61BC" w:rsidRPr="00B53BEC" w:rsidRDefault="00DF61BC" w:rsidP="00402163">
      <w:pPr>
        <w:pStyle w:val="Heading2"/>
        <w:spacing w:line="360" w:lineRule="auto"/>
        <w:rPr>
          <w:szCs w:val="28"/>
          <w:lang w:val="ru-RU"/>
        </w:rPr>
      </w:pPr>
      <w:r>
        <w:rPr>
          <w:bCs/>
          <w:szCs w:val="28"/>
          <w:lang w:val="ru-RU"/>
        </w:rPr>
        <w:t>5</w:t>
      </w:r>
      <w:r w:rsidRPr="00B53BEC">
        <w:rPr>
          <w:bCs/>
          <w:szCs w:val="28"/>
          <w:lang w:val="ru-RU"/>
        </w:rPr>
        <w:t>.</w:t>
      </w:r>
      <w:r w:rsidRPr="00B53BEC">
        <w:rPr>
          <w:bCs/>
          <w:szCs w:val="28"/>
        </w:rPr>
        <w:t>Кримінальний кодекс України: Науково-практичний коментар /К82 Ю. В. Баулін, В. І. Борисов, С. Б. Гавриш та ін.; За заг. ред. В. В.  Сташиса, В. Я. Тація.- К.: Концерн “Видавничий Дім “Ін Юре”, 2003.</w:t>
      </w:r>
      <w:r w:rsidRPr="00B53BEC">
        <w:rPr>
          <w:bCs/>
          <w:szCs w:val="28"/>
          <w:lang w:val="ru-RU"/>
        </w:rPr>
        <w:t xml:space="preserve"> -</w:t>
      </w:r>
      <w:r w:rsidRPr="00B53BEC">
        <w:rPr>
          <w:bCs/>
          <w:szCs w:val="28"/>
        </w:rPr>
        <w:t xml:space="preserve"> 1196 с.</w:t>
      </w:r>
    </w:p>
    <w:p w:rsidR="00DF61BC" w:rsidRPr="00B53BEC" w:rsidRDefault="00DF61BC" w:rsidP="004021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B53BEC">
        <w:rPr>
          <w:rFonts w:ascii="Times New Roman" w:hAnsi="Times New Roman"/>
          <w:sz w:val="28"/>
          <w:szCs w:val="28"/>
          <w:lang w:val="uk-UA"/>
        </w:rPr>
        <w:t>.</w:t>
      </w:r>
      <w:r w:rsidRPr="00B53BEC">
        <w:rPr>
          <w:rFonts w:ascii="Times New Roman" w:hAnsi="Times New Roman"/>
          <w:sz w:val="28"/>
          <w:szCs w:val="28"/>
        </w:rPr>
        <w:t xml:space="preserve"> Про затвердження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BEC">
        <w:rPr>
          <w:rFonts w:ascii="Times New Roman" w:hAnsi="Times New Roman"/>
          <w:sz w:val="28"/>
          <w:szCs w:val="28"/>
        </w:rPr>
        <w:t>Положення про військово-лікарську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BEC">
        <w:rPr>
          <w:rFonts w:ascii="Times New Roman" w:hAnsi="Times New Roman"/>
          <w:sz w:val="28"/>
          <w:szCs w:val="28"/>
        </w:rPr>
        <w:t>експертизу в Збройних Силах України: Міноборони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BEC">
        <w:rPr>
          <w:rFonts w:ascii="Times New Roman" w:hAnsi="Times New Roman"/>
          <w:sz w:val="28"/>
          <w:szCs w:val="28"/>
        </w:rPr>
        <w:t>України; Наказ, Положення, Перелік [...] від 14.08.2008 № 402/ [Електронний ресурс] - Режим доступу :</w:t>
      </w:r>
      <w:hyperlink r:id="rId8" w:history="1">
        <w:r w:rsidRPr="00B53B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http://zakon3.rada.gov.ua/laws/show/z1109-08/page</w:t>
        </w:r>
      </w:hyperlink>
    </w:p>
    <w:p w:rsidR="00DF61BC" w:rsidRPr="00B53BEC" w:rsidRDefault="00DF61BC" w:rsidP="004021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B53BEC">
        <w:rPr>
          <w:rFonts w:ascii="Times New Roman" w:hAnsi="Times New Roman"/>
          <w:sz w:val="28"/>
          <w:szCs w:val="28"/>
          <w:lang w:val="uk-UA"/>
        </w:rPr>
        <w:t>.Про затвердження Порядку організації надання медичної допомоги засудженим до позбавлення волі: Наказ, Порядок, Заява [...] від 15.08.2014 № 1348/5/572  // Мін'юст України, МОЗ України;</w:t>
      </w:r>
      <w:r w:rsidRPr="00B53BEC">
        <w:rPr>
          <w:rFonts w:ascii="Times New Roman" w:hAnsi="Times New Roman"/>
          <w:sz w:val="28"/>
          <w:szCs w:val="28"/>
        </w:rPr>
        <w:t xml:space="preserve"> [Електронний ресурс] - Режим доступу : </w:t>
      </w:r>
      <w:hyperlink r:id="rId9" w:history="1">
        <w:r w:rsidRPr="00B53B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http://zakon3.rada.gov.ua/laws/show/z0990-14</w:t>
        </w:r>
      </w:hyperlink>
    </w:p>
    <w:p w:rsidR="00DF61BC" w:rsidRPr="00B53BEC" w:rsidRDefault="00DF61BC" w:rsidP="004021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B53BEC">
        <w:rPr>
          <w:rFonts w:ascii="Times New Roman" w:hAnsi="Times New Roman"/>
          <w:sz w:val="28"/>
          <w:szCs w:val="28"/>
          <w:lang w:val="uk-UA"/>
        </w:rPr>
        <w:t xml:space="preserve">.Про практику застосування судами законодавства про звільнення від відбуття покарання засуджених, які захворіли на тяжку хворобу: Постанова від 28.09.1973 № 8 // Верховний Суд; </w:t>
      </w:r>
      <w:r w:rsidRPr="00B53BEC">
        <w:rPr>
          <w:rFonts w:ascii="Times New Roman" w:hAnsi="Times New Roman"/>
          <w:sz w:val="28"/>
          <w:szCs w:val="28"/>
        </w:rPr>
        <w:t>[Електронний ресурс] - Режим доступу :</w:t>
      </w:r>
    </w:p>
    <w:p w:rsidR="00DF61BC" w:rsidRPr="00B53BEC" w:rsidRDefault="00DF61BC" w:rsidP="0040216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bookmarkStart w:id="1" w:name="_GoBack"/>
      <w:bookmarkEnd w:id="1"/>
      <w:r w:rsidRPr="00B53BEC">
        <w:rPr>
          <w:rFonts w:ascii="Times New Roman" w:hAnsi="Times New Roman"/>
          <w:i/>
          <w:sz w:val="28"/>
          <w:szCs w:val="28"/>
          <w:lang w:val="uk-UA"/>
        </w:rPr>
        <w:t>.</w:t>
      </w:r>
      <w:r w:rsidRPr="00B53BEC">
        <w:rPr>
          <w:rFonts w:ascii="Times New Roman" w:hAnsi="Times New Roman"/>
          <w:sz w:val="28"/>
          <w:szCs w:val="28"/>
        </w:rPr>
        <w:t>Ухвала Арбузинсього районного суду</w:t>
      </w:r>
      <w:r w:rsidRPr="00B53BE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B53BEC">
        <w:rPr>
          <w:rFonts w:ascii="Times New Roman" w:hAnsi="Times New Roman"/>
          <w:sz w:val="28"/>
          <w:szCs w:val="28"/>
        </w:rPr>
        <w:t xml:space="preserve">11.12.2017 р. </w:t>
      </w:r>
      <w:r w:rsidRPr="00B53BEC">
        <w:rPr>
          <w:rFonts w:ascii="Times New Roman" w:hAnsi="Times New Roman"/>
          <w:sz w:val="28"/>
          <w:szCs w:val="28"/>
          <w:lang w:val="uk-UA"/>
        </w:rPr>
        <w:t xml:space="preserve">по справі № </w:t>
      </w:r>
      <w:hyperlink r:id="rId10" w:tooltip="Натисніть для перегляду всіх судових рішень по справі" w:history="1">
        <w:r w:rsidRPr="00B53BEC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</w:rPr>
          <w:t>467/1481/17</w:t>
        </w:r>
      </w:hyperlink>
      <w:r w:rsidRPr="00B53BEC">
        <w:rPr>
          <w:rFonts w:ascii="Times New Roman" w:hAnsi="Times New Roman"/>
          <w:sz w:val="28"/>
          <w:szCs w:val="28"/>
          <w:lang w:val="uk-UA"/>
        </w:rPr>
        <w:t xml:space="preserve"> [Електронний ресурс]  // Єдиний державний реєстр судових рішень. - Режим доступу: http://www.reyestr.court.gov.ua/Review/70832887</w:t>
      </w:r>
    </w:p>
    <w:sectPr w:rsidR="00DF61BC" w:rsidRPr="00B53BEC" w:rsidSect="004021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5EA"/>
    <w:rsid w:val="00172CFE"/>
    <w:rsid w:val="00187222"/>
    <w:rsid w:val="001959D0"/>
    <w:rsid w:val="001A042C"/>
    <w:rsid w:val="0021752B"/>
    <w:rsid w:val="002356AC"/>
    <w:rsid w:val="00250297"/>
    <w:rsid w:val="00254D00"/>
    <w:rsid w:val="00282A95"/>
    <w:rsid w:val="002A1793"/>
    <w:rsid w:val="002D4C6A"/>
    <w:rsid w:val="002F2F59"/>
    <w:rsid w:val="00324C50"/>
    <w:rsid w:val="00332EA0"/>
    <w:rsid w:val="00352CAD"/>
    <w:rsid w:val="003A2DBE"/>
    <w:rsid w:val="003B4923"/>
    <w:rsid w:val="00402163"/>
    <w:rsid w:val="0040737A"/>
    <w:rsid w:val="0043055B"/>
    <w:rsid w:val="00436B4C"/>
    <w:rsid w:val="004477FA"/>
    <w:rsid w:val="00455910"/>
    <w:rsid w:val="00464B3C"/>
    <w:rsid w:val="004945FB"/>
    <w:rsid w:val="004E185A"/>
    <w:rsid w:val="00500771"/>
    <w:rsid w:val="005272C0"/>
    <w:rsid w:val="0059429B"/>
    <w:rsid w:val="00605EFA"/>
    <w:rsid w:val="0060639E"/>
    <w:rsid w:val="0061078E"/>
    <w:rsid w:val="006211A7"/>
    <w:rsid w:val="006430F8"/>
    <w:rsid w:val="00660AF6"/>
    <w:rsid w:val="006632F3"/>
    <w:rsid w:val="0073711B"/>
    <w:rsid w:val="0074430E"/>
    <w:rsid w:val="007617D6"/>
    <w:rsid w:val="00782F3A"/>
    <w:rsid w:val="007E25EA"/>
    <w:rsid w:val="0087424E"/>
    <w:rsid w:val="00876406"/>
    <w:rsid w:val="008F52C9"/>
    <w:rsid w:val="00973FAF"/>
    <w:rsid w:val="009A6548"/>
    <w:rsid w:val="009A7F2A"/>
    <w:rsid w:val="009B11A6"/>
    <w:rsid w:val="00A253C5"/>
    <w:rsid w:val="00A25700"/>
    <w:rsid w:val="00A83014"/>
    <w:rsid w:val="00A91198"/>
    <w:rsid w:val="00B53BEC"/>
    <w:rsid w:val="00B67393"/>
    <w:rsid w:val="00B74E3E"/>
    <w:rsid w:val="00B872BC"/>
    <w:rsid w:val="00BC4837"/>
    <w:rsid w:val="00BF741E"/>
    <w:rsid w:val="00C01DC1"/>
    <w:rsid w:val="00C01E96"/>
    <w:rsid w:val="00C10002"/>
    <w:rsid w:val="00C106A8"/>
    <w:rsid w:val="00C15272"/>
    <w:rsid w:val="00C471F6"/>
    <w:rsid w:val="00C730C9"/>
    <w:rsid w:val="00C86311"/>
    <w:rsid w:val="00CE5E74"/>
    <w:rsid w:val="00CF2326"/>
    <w:rsid w:val="00CF3129"/>
    <w:rsid w:val="00D3576D"/>
    <w:rsid w:val="00D50A02"/>
    <w:rsid w:val="00DF61BC"/>
    <w:rsid w:val="00E34FAC"/>
    <w:rsid w:val="00E70B8E"/>
    <w:rsid w:val="00E73FA0"/>
    <w:rsid w:val="00E8666C"/>
    <w:rsid w:val="00EB5EE6"/>
    <w:rsid w:val="00EE124E"/>
    <w:rsid w:val="00F244A5"/>
    <w:rsid w:val="00F93F2D"/>
    <w:rsid w:val="00F9560A"/>
    <w:rsid w:val="00FA6518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A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7393"/>
    <w:pPr>
      <w:keepNext/>
      <w:widowControl w:val="0"/>
      <w:tabs>
        <w:tab w:val="left" w:pos="735"/>
      </w:tabs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67393"/>
    <w:rPr>
      <w:rFonts w:ascii="Times New Roman" w:hAnsi="Times New Roman" w:cs="Times New Roman"/>
      <w:sz w:val="20"/>
      <w:szCs w:val="20"/>
      <w:lang w:val="uk-UA" w:eastAsia="ru-RU"/>
    </w:rPr>
  </w:style>
  <w:style w:type="character" w:styleId="Emphasis">
    <w:name w:val="Emphasis"/>
    <w:basedOn w:val="DefaultParagraphFont"/>
    <w:uiPriority w:val="99"/>
    <w:qFormat/>
    <w:rsid w:val="005272C0"/>
    <w:rPr>
      <w:rFonts w:cs="Times New Roman"/>
      <w:i/>
      <w:iCs/>
    </w:rPr>
  </w:style>
  <w:style w:type="paragraph" w:customStyle="1" w:styleId="rvps2">
    <w:name w:val="rvps2"/>
    <w:basedOn w:val="Normal"/>
    <w:uiPriority w:val="99"/>
    <w:rsid w:val="00F95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9560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95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9560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06A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B67393"/>
    <w:pPr>
      <w:widowControl w:val="0"/>
      <w:autoSpaceDE w:val="0"/>
      <w:autoSpaceDN w:val="0"/>
      <w:adjustRightInd w:val="0"/>
      <w:spacing w:after="0" w:line="240" w:lineRule="auto"/>
      <w:ind w:left="851" w:firstLine="851"/>
      <w:jc w:val="both"/>
    </w:pPr>
    <w:rPr>
      <w:rFonts w:ascii="Times New Roman" w:eastAsia="Times New Roman" w:hAnsi="Times New Roman"/>
      <w:b/>
      <w:bCs/>
      <w:sz w:val="28"/>
      <w:szCs w:val="18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7393"/>
    <w:rPr>
      <w:rFonts w:ascii="Times New Roman" w:hAnsi="Times New Roman" w:cs="Times New Roman"/>
      <w:b/>
      <w:bCs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1109-08/p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znavec.com.ua/books/162/2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hpg.org/index.php?id=149605634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2.rada.gov.ua/laws/show/v0008700-73" TargetMode="External"/><Relationship Id="rId10" Type="http://schemas.openxmlformats.org/officeDocument/2006/relationships/hyperlink" Target="http://www.reyestr.court.gov.ua/Review/70832887" TargetMode="External"/><Relationship Id="rId4" Type="http://schemas.openxmlformats.org/officeDocument/2006/relationships/hyperlink" Target="http://zakon3.rada.gov.ua/laws/show/z0990-14/paran249" TargetMode="External"/><Relationship Id="rId9" Type="http://schemas.openxmlformats.org/officeDocument/2006/relationships/hyperlink" Target="http://zakon3.rada.gov.ua/laws/show/z0990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4</Pages>
  <Words>5508</Words>
  <Characters>3141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7</cp:revision>
  <dcterms:created xsi:type="dcterms:W3CDTF">2018-04-12T12:48:00Z</dcterms:created>
  <dcterms:modified xsi:type="dcterms:W3CDTF">2018-04-13T09:19:00Z</dcterms:modified>
</cp:coreProperties>
</file>