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b/>
          <w:bCs/>
          <w:iCs/>
          <w:sz w:val="28"/>
          <w:szCs w:val="28"/>
          <w:lang w:val="uk-UA"/>
        </w:rPr>
      </w:pPr>
      <w:r>
        <w:rPr>
          <w:b/>
          <w:sz w:val="28"/>
          <w:szCs w:val="28"/>
          <w:lang w:val="uk-UA"/>
        </w:rPr>
        <w:t>УДК 339.9</w:t>
      </w:r>
    </w:p>
    <w:p>
      <w:pPr>
        <w:spacing w:line="360" w:lineRule="auto"/>
        <w:jc w:val="right"/>
        <w:rPr>
          <w:i/>
          <w:sz w:val="28"/>
          <w:szCs w:val="28"/>
          <w:lang w:val="uk-UA"/>
        </w:rPr>
      </w:pPr>
      <w:r>
        <w:rPr>
          <w:b/>
          <w:i/>
          <w:sz w:val="28"/>
          <w:szCs w:val="28"/>
          <w:lang w:val="uk-UA"/>
        </w:rPr>
        <w:t>С. В. Сіденко</w:t>
      </w:r>
      <w:r>
        <w:rPr>
          <w:rStyle w:val="5"/>
          <w:b/>
          <w:i/>
          <w:sz w:val="28"/>
          <w:szCs w:val="28"/>
          <w:lang w:val="uk-UA"/>
        </w:rPr>
        <w:footnoteReference w:id="0"/>
      </w:r>
    </w:p>
    <w:p>
      <w:pPr>
        <w:spacing w:line="360" w:lineRule="auto"/>
        <w:ind w:right="135"/>
        <w:jc w:val="both"/>
        <w:rPr>
          <w:b/>
          <w:sz w:val="28"/>
          <w:szCs w:val="28"/>
          <w:lang w:val="uk-UA"/>
        </w:rPr>
      </w:pPr>
    </w:p>
    <w:p>
      <w:pPr>
        <w:spacing w:line="360" w:lineRule="auto"/>
        <w:ind w:right="135"/>
        <w:jc w:val="center"/>
        <w:rPr>
          <w:b/>
          <w:sz w:val="28"/>
          <w:szCs w:val="28"/>
          <w:lang w:val="uk-UA"/>
        </w:rPr>
      </w:pPr>
      <w:r>
        <w:rPr>
          <w:b/>
          <w:sz w:val="28"/>
          <w:szCs w:val="28"/>
          <w:lang w:val="uk-UA"/>
        </w:rPr>
        <w:t>ІННОВАЦІЙНІ ПОЗИЦІЇ</w:t>
      </w:r>
    </w:p>
    <w:p>
      <w:pPr>
        <w:spacing w:line="360" w:lineRule="auto"/>
        <w:ind w:right="135"/>
        <w:jc w:val="center"/>
        <w:rPr>
          <w:b/>
          <w:sz w:val="28"/>
          <w:szCs w:val="28"/>
        </w:rPr>
      </w:pPr>
      <w:r>
        <w:rPr>
          <w:b/>
          <w:sz w:val="28"/>
          <w:szCs w:val="28"/>
        </w:rPr>
        <w:t>ЄВРОПЕЙСЬКИХ ТРАНСНАЦІОНАЛЬНИХ КОРПОРАЦІЙ</w:t>
      </w:r>
    </w:p>
    <w:p>
      <w:pPr>
        <w:pStyle w:val="7"/>
        <w:spacing w:before="0" w:after="0" w:line="360" w:lineRule="auto"/>
        <w:jc w:val="both"/>
        <w:rPr>
          <w:b/>
          <w:sz w:val="28"/>
          <w:szCs w:val="28"/>
          <w:lang w:val="uk-UA"/>
        </w:rPr>
      </w:pPr>
    </w:p>
    <w:p>
      <w:pPr>
        <w:spacing w:line="360" w:lineRule="auto"/>
        <w:ind w:firstLine="709"/>
        <w:jc w:val="both"/>
        <w:rPr>
          <w:sz w:val="28"/>
          <w:szCs w:val="28"/>
          <w:lang w:val="uk-UA"/>
        </w:rPr>
      </w:pPr>
      <w:r>
        <w:rPr>
          <w:b/>
          <w:sz w:val="28"/>
          <w:szCs w:val="28"/>
          <w:lang w:val="uk-UA"/>
        </w:rPr>
        <w:t>Постановка проблеми.</w:t>
      </w:r>
      <w:r>
        <w:rPr>
          <w:sz w:val="28"/>
          <w:szCs w:val="28"/>
          <w:lang w:val="uk-UA"/>
        </w:rPr>
        <w:t xml:space="preserve"> У 2014 році 2500 найбільших транснаціональних корпорацій (ТНК) всіх країн світу інвестували в науково-дослідні та дослідно-конструкторські роботи (НДДКР) 607,2 млрд. євро, тобто на 6,8% більше, ніж у 2013 році, варто зазначити, що з кожним роком цей показник збільшується. Позитивний розвиток інвестування в інноваційну діяльність ТНК підтверджує важливу стратегічну роль, яку відіграє науково-дослідна активність для цих компаній в контексті глобальної конкуренції і все більш прискореному технологічному прогресі.</w:t>
      </w:r>
    </w:p>
    <w:p>
      <w:pPr>
        <w:pStyle w:val="8"/>
        <w:spacing w:before="0" w:after="0" w:line="360" w:lineRule="auto"/>
        <w:ind w:left="0" w:right="0" w:firstLine="709"/>
        <w:rPr>
          <w:lang w:val="uk-UA"/>
        </w:rPr>
      </w:pPr>
      <w:r>
        <w:t xml:space="preserve">Найбільші з таких ТНК знаходяться в ЄС, США та Японії. Вони мають постійно здійснювати пошук інноваційних рішень та впроваджувати передові технології, щоб займати позиції лідерів. </w:t>
      </w:r>
      <w:r>
        <w:rPr>
          <w:lang w:val="uk-UA"/>
        </w:rPr>
        <w:t xml:space="preserve">ТНК намагаються розподіляти сфери впливу між собою. Галузева спеціалізація досить часто збігається зі спеціалізацією країни. ТНК США займають провідні позиції на світовому ринку високих технологій, фармацевтики і програмного забезпечення. Японські промислові корпорації посідають передові позиції в металургії, електроніці та електротехніці. Компанії Європейського Союзу досягнули лідерства у хімічній та харчовій промисловості, а також у автомобільній галузі </w:t>
      </w:r>
      <w:r>
        <w:t>[1]</w:t>
      </w:r>
      <w:r>
        <w:rPr>
          <w:lang w:val="uk-UA"/>
        </w:rPr>
        <w:t>.</w:t>
      </w:r>
    </w:p>
    <w:p>
      <w:pPr>
        <w:widowControl w:val="0"/>
        <w:autoSpaceDE w:val="0"/>
        <w:autoSpaceDN w:val="0"/>
        <w:adjustRightInd w:val="0"/>
        <w:spacing w:line="360" w:lineRule="auto"/>
        <w:ind w:firstLine="709"/>
        <w:jc w:val="both"/>
        <w:rPr>
          <w:sz w:val="28"/>
          <w:szCs w:val="28"/>
        </w:rPr>
      </w:pPr>
      <w:r>
        <w:rPr>
          <w:b/>
          <w:sz w:val="28"/>
          <w:szCs w:val="28"/>
        </w:rPr>
        <w:t>Аналіз останніх досліджень та публікацій.</w:t>
      </w:r>
      <w:r>
        <w:rPr>
          <w:sz w:val="28"/>
          <w:szCs w:val="28"/>
        </w:rPr>
        <w:t xml:space="preserve"> </w:t>
      </w:r>
      <w:r>
        <w:rPr>
          <w:sz w:val="28"/>
          <w:szCs w:val="28"/>
          <w:lang w:val="uk-UA"/>
        </w:rPr>
        <w:t xml:space="preserve">Особливості інноваційної діяльності європейських транснаціональних корпорацій розглядаються в чисельних публікаціях зарубіжних та вітчизняних вчених таких, як П.Баклі, Р.Вернона, С.Гаймера, Дж.Даннінга, Р.Коаза, М.Кессона, В.Левківського, </w:t>
      </w:r>
      <w:r>
        <w:rPr>
          <w:sz w:val="28"/>
          <w:szCs w:val="28"/>
        </w:rPr>
        <w:t xml:space="preserve">О.Рогача, </w:t>
      </w:r>
      <w:r>
        <w:rPr>
          <w:sz w:val="28"/>
          <w:szCs w:val="28"/>
          <w:lang w:val="uk-UA"/>
        </w:rPr>
        <w:t>А.Філіпенка,</w:t>
      </w:r>
      <w:r>
        <w:rPr>
          <w:color w:val="0E0F12"/>
          <w:sz w:val="28"/>
          <w:szCs w:val="28"/>
        </w:rPr>
        <w:t xml:space="preserve"> </w:t>
      </w:r>
      <w:r>
        <w:rPr>
          <w:sz w:val="28"/>
          <w:szCs w:val="28"/>
        </w:rPr>
        <w:t xml:space="preserve">С.Якубовського та </w:t>
      </w:r>
      <w:r>
        <w:rPr>
          <w:sz w:val="28"/>
          <w:szCs w:val="28"/>
          <w:lang w:val="uk-UA"/>
        </w:rPr>
        <w:t>інших</w:t>
      </w:r>
      <w:r>
        <w:rPr>
          <w:sz w:val="28"/>
          <w:szCs w:val="28"/>
        </w:rPr>
        <w:t xml:space="preserve">. </w:t>
      </w:r>
      <w:r>
        <w:rPr>
          <w:color w:val="0E0F12"/>
          <w:sz w:val="28"/>
          <w:szCs w:val="28"/>
        </w:rPr>
        <w:t>Науково-дослідна та дослідно-–конструкторська робота ТНК ЄС з кожним роком набирає обертів, що обумовлює необхідність дослідження іх позицій на світовому ринку, з’ясування ролі та значення інноваціійної діяльності ТНК ЄС в світовій економіці.</w:t>
      </w:r>
    </w:p>
    <w:p>
      <w:pPr>
        <w:spacing w:line="360" w:lineRule="auto"/>
        <w:ind w:firstLine="709"/>
        <w:jc w:val="both"/>
        <w:rPr>
          <w:color w:val="0E0F12"/>
          <w:sz w:val="28"/>
          <w:szCs w:val="28"/>
        </w:rPr>
      </w:pPr>
      <w:r>
        <w:rPr>
          <w:b/>
          <w:sz w:val="28"/>
          <w:szCs w:val="28"/>
        </w:rPr>
        <w:t xml:space="preserve">Метою статті </w:t>
      </w:r>
      <w:r>
        <w:rPr>
          <w:sz w:val="28"/>
          <w:szCs w:val="28"/>
        </w:rPr>
        <w:t xml:space="preserve">є </w:t>
      </w:r>
      <w:r>
        <w:rPr>
          <w:color w:val="0E0F12"/>
          <w:sz w:val="28"/>
          <w:szCs w:val="28"/>
        </w:rPr>
        <w:t>обґрунтування значимості інноваційнних позицій транснаціональних корпорацій Європейського Союзу на світовому ринку.</w:t>
      </w:r>
    </w:p>
    <w:p>
      <w:pPr>
        <w:widowControl w:val="0"/>
        <w:autoSpaceDE w:val="0"/>
        <w:autoSpaceDN w:val="0"/>
        <w:adjustRightInd w:val="0"/>
        <w:spacing w:line="360" w:lineRule="auto"/>
        <w:ind w:firstLine="709"/>
        <w:jc w:val="both"/>
        <w:rPr>
          <w:bCs/>
          <w:iCs/>
          <w:color w:val="0E0F12"/>
          <w:sz w:val="28"/>
          <w:szCs w:val="28"/>
        </w:rPr>
      </w:pPr>
      <w:r>
        <w:rPr>
          <w:b/>
          <w:color w:val="0E0F12"/>
          <w:sz w:val="28"/>
          <w:szCs w:val="28"/>
        </w:rPr>
        <w:t>Виклад основного матеріалу</w:t>
      </w:r>
      <w:r>
        <w:rPr>
          <w:b/>
          <w:bCs/>
          <w:i/>
          <w:iCs/>
          <w:color w:val="0E0F12"/>
          <w:sz w:val="28"/>
          <w:szCs w:val="28"/>
        </w:rPr>
        <w:t xml:space="preserve">. </w:t>
      </w:r>
      <w:r>
        <w:rPr>
          <w:sz w:val="28"/>
          <w:szCs w:val="28"/>
        </w:rPr>
        <w:t>У системі світового господарства існують три основні суб’єкти, які займаються інвестуванням у НДДКР – держави, венчурні компанії і транснаціональні корпорації [2].</w:t>
      </w:r>
      <w:r>
        <w:rPr>
          <w:bCs/>
          <w:iCs/>
          <w:color w:val="0E0F12"/>
          <w:sz w:val="28"/>
          <w:szCs w:val="28"/>
        </w:rPr>
        <w:t xml:space="preserve"> </w:t>
      </w:r>
      <w:r>
        <w:rPr>
          <w:color w:val="0E0F12"/>
          <w:sz w:val="28"/>
          <w:szCs w:val="28"/>
        </w:rPr>
        <w:t xml:space="preserve">Успіх та результативність інноваційної діяльності залежать від знання та урахування її концептуальних основ, оскільки вона має свою специфіку. Щоб відповідати сучасним світовим вимогам та здійснювати ефективну інноваційну діяльність, транснаціональна компанія має бути динамічною та гнучкою, швидко реагувати на зміни та вживати відповідних заходів. Крім того, лише активна інноваційна позиція дає можливість випередити конкурентів, оскільки, розуміючи необхідність інноваційної діяльності, її активізація відбуватиметься у кожній компанії й від того наскільки швидко буде запроваджена та чи інша інновація та наскільки кращою вона буде від інновації конкурентів, </w:t>
      </w:r>
      <w:r>
        <w:rPr>
          <w:sz w:val="28"/>
          <w:szCs w:val="28"/>
        </w:rPr>
        <w:t>–</w:t>
      </w:r>
      <w:r>
        <w:rPr>
          <w:color w:val="0E0F12"/>
          <w:sz w:val="28"/>
          <w:szCs w:val="28"/>
        </w:rPr>
        <w:t xml:space="preserve"> залежатиме ринкова позиція компанії, її успіх та прибутки. Слід зауважити, що лише запровадження інноваційних технологій виробництва чи випуск інноваційних товарів не дасть довготривалих високих результатів [3].</w:t>
      </w:r>
    </w:p>
    <w:p>
      <w:pPr>
        <w:widowControl w:val="0"/>
        <w:autoSpaceDE w:val="0"/>
        <w:autoSpaceDN w:val="0"/>
        <w:adjustRightInd w:val="0"/>
        <w:spacing w:line="360" w:lineRule="auto"/>
        <w:ind w:firstLine="709"/>
        <w:jc w:val="both"/>
        <w:rPr>
          <w:b/>
          <w:sz w:val="28"/>
          <w:szCs w:val="28"/>
        </w:rPr>
      </w:pPr>
      <w:r>
        <w:rPr>
          <w:sz w:val="28"/>
          <w:szCs w:val="28"/>
        </w:rPr>
        <w:t>Інвестиції в НДДКР 608 ТНК ЄС продовжують зростати значними темпами і в 2014 році збільшилися на 3,3%, а в порівнянні з 2013 роком на 2,5% відповідно. Чистий обсяг продажів ТНК ЄС за минулий рік знизився лише на 1,0%. Це було обумовлено падінням цін на нафту і газ, та продукцію гірничодобувної промисловості, які становлять значну частку продажів транснаціональних компаній ЄС, порівняно з ТНК інших регіонів світу. Загальний рівень інвестування в інноваційну діяльність ТНК ЄС, в значній мірі базується на інвестиціях німецьких компаній, на які припадає відповдно 36,8%. У 136 німецьких корпорацій з 608 ТНК ЄС інвестування в НДДКР збільшилося на 6,3%, а чистий обсяг продажів на 3,0%. Ці результати в значній мірі відображаються у автомобільній галузі (+ 7,8%). На даний сектор припадає 53% інвестицій у НДДКР в групі німецьких компаній.</w:t>
      </w:r>
    </w:p>
    <w:p>
      <w:pPr>
        <w:spacing w:line="360" w:lineRule="auto"/>
        <w:ind w:firstLine="709"/>
        <w:jc w:val="both"/>
        <w:rPr>
          <w:sz w:val="28"/>
          <w:szCs w:val="28"/>
        </w:rPr>
      </w:pPr>
      <w:r>
        <w:rPr>
          <w:sz w:val="28"/>
          <w:szCs w:val="28"/>
        </w:rPr>
        <w:t xml:space="preserve">Транснаціональні корпорації США мають дещо інші показники, їх інвестиції в НДДКР збільшилися на 8,1% за 2014 рік, що є більшим за світовий показник. Найкрупніші американські транснаціональні компанії займають провідні місьця в таких галузях, як фармацевтика та біотехнології, програмне забезпечення і комп'ютерні послуги. Крім того, деякі з великих ТНК США, що займаються технологічним устаткуванням і обладнанням, а саме Apple і Qualcomm показали збільшення інвестицій в інноваційну діяльність на 35,0% і 10,3% відповідно. </w:t>
      </w:r>
    </w:p>
    <w:p>
      <w:pPr>
        <w:spacing w:line="360" w:lineRule="auto"/>
        <w:ind w:firstLine="709"/>
        <w:jc w:val="both"/>
        <w:rPr>
          <w:sz w:val="28"/>
          <w:szCs w:val="28"/>
        </w:rPr>
      </w:pPr>
      <w:r>
        <w:rPr>
          <w:sz w:val="28"/>
          <w:szCs w:val="28"/>
        </w:rPr>
        <w:t>Японські ТНК займають гірші позиції в інвестуванні НДДКР (у порівнянні з ТНК ЄС і США) з показником лише у 2,6%. Як і у випадку з німецькими ТНК, середній показники японських ТНК сильно залежить від результатів автомобільної галузі, що становить 28,5% від загального обсягу витрат японських ТНК на НДДКР, і має зростання на 6,6% (Рис. 1) [4].</w:t>
      </w:r>
    </w:p>
    <w:p>
      <w:pPr>
        <w:widowControl w:val="0"/>
        <w:autoSpaceDE w:val="0"/>
        <w:autoSpaceDN w:val="0"/>
        <w:adjustRightInd w:val="0"/>
        <w:spacing w:line="360" w:lineRule="auto"/>
        <w:ind w:right="135"/>
        <w:jc w:val="both"/>
        <w:rPr>
          <w:sz w:val="28"/>
          <w:szCs w:val="28"/>
          <w:lang w:val="en-US"/>
        </w:rPr>
      </w:pPr>
      <w:r>
        <w:rPr>
          <w:sz w:val="28"/>
          <w:szCs w:val="28"/>
          <w:lang w:eastAsia="ru-RU"/>
        </w:rPr>
        <w:drawing>
          <wp:inline distT="0" distB="0" distL="0" distR="0">
            <wp:extent cx="6181725" cy="4314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181725" cy="4314825"/>
                    </a:xfrm>
                    <a:prstGeom prst="rect">
                      <a:avLst/>
                    </a:prstGeom>
                    <a:noFill/>
                    <a:ln>
                      <a:noFill/>
                    </a:ln>
                  </pic:spPr>
                </pic:pic>
              </a:graphicData>
            </a:graphic>
          </wp:inline>
        </w:drawing>
      </w:r>
    </w:p>
    <w:p>
      <w:pPr>
        <w:spacing w:line="360" w:lineRule="auto"/>
        <w:ind w:right="135"/>
        <w:jc w:val="center"/>
        <w:rPr>
          <w:b/>
          <w:sz w:val="28"/>
          <w:szCs w:val="28"/>
          <w:lang w:val="en-US"/>
        </w:rPr>
      </w:pPr>
      <w:r>
        <w:rPr>
          <w:b/>
          <w:sz w:val="28"/>
          <w:szCs w:val="28"/>
        </w:rPr>
        <w:t>Рис</w:t>
      </w:r>
      <w:r>
        <w:rPr>
          <w:b/>
          <w:sz w:val="28"/>
          <w:szCs w:val="28"/>
          <w:lang w:val="en-US"/>
        </w:rPr>
        <w:t xml:space="preserve">. 1. </w:t>
      </w:r>
      <w:r>
        <w:rPr>
          <w:b/>
          <w:sz w:val="28"/>
          <w:szCs w:val="28"/>
        </w:rPr>
        <w:t>Інвестиції</w:t>
      </w:r>
      <w:r>
        <w:rPr>
          <w:b/>
          <w:sz w:val="28"/>
          <w:szCs w:val="28"/>
          <w:lang w:val="en-US"/>
        </w:rPr>
        <w:t xml:space="preserve"> </w:t>
      </w:r>
      <w:r>
        <w:rPr>
          <w:b/>
          <w:sz w:val="28"/>
          <w:szCs w:val="28"/>
        </w:rPr>
        <w:t>в</w:t>
      </w:r>
      <w:r>
        <w:rPr>
          <w:b/>
          <w:sz w:val="28"/>
          <w:szCs w:val="28"/>
          <w:lang w:val="en-US"/>
        </w:rPr>
        <w:t xml:space="preserve"> </w:t>
      </w:r>
      <w:r>
        <w:rPr>
          <w:b/>
          <w:sz w:val="28"/>
          <w:szCs w:val="28"/>
        </w:rPr>
        <w:t>інноваційну</w:t>
      </w:r>
      <w:r>
        <w:rPr>
          <w:b/>
          <w:sz w:val="28"/>
          <w:szCs w:val="28"/>
          <w:lang w:val="en-US"/>
        </w:rPr>
        <w:t xml:space="preserve"> </w:t>
      </w:r>
      <w:r>
        <w:rPr>
          <w:b/>
          <w:sz w:val="28"/>
          <w:szCs w:val="28"/>
        </w:rPr>
        <w:t>дияльність</w:t>
      </w:r>
      <w:r>
        <w:rPr>
          <w:b/>
          <w:sz w:val="28"/>
          <w:szCs w:val="28"/>
          <w:lang w:val="en-US"/>
        </w:rPr>
        <w:t xml:space="preserve"> </w:t>
      </w:r>
      <w:r>
        <w:rPr>
          <w:b/>
          <w:sz w:val="28"/>
          <w:szCs w:val="28"/>
        </w:rPr>
        <w:t>найбільших</w:t>
      </w:r>
      <w:r>
        <w:rPr>
          <w:b/>
          <w:sz w:val="28"/>
          <w:szCs w:val="28"/>
          <w:lang w:val="en-US"/>
        </w:rPr>
        <w:t xml:space="preserve"> 2500 </w:t>
      </w:r>
      <w:r>
        <w:rPr>
          <w:b/>
          <w:sz w:val="28"/>
          <w:szCs w:val="28"/>
        </w:rPr>
        <w:t>ТНК</w:t>
      </w:r>
    </w:p>
    <w:p>
      <w:pPr>
        <w:spacing w:line="360" w:lineRule="auto"/>
        <w:ind w:right="135"/>
        <w:jc w:val="center"/>
        <w:rPr>
          <w:b/>
          <w:sz w:val="28"/>
          <w:szCs w:val="28"/>
        </w:rPr>
      </w:pPr>
      <w:r>
        <w:rPr>
          <w:b/>
          <w:sz w:val="28"/>
          <w:szCs w:val="28"/>
        </w:rPr>
        <w:t>(% від загального обсягу 607,2 млрд. євро)</w:t>
      </w:r>
    </w:p>
    <w:p>
      <w:pPr>
        <w:pStyle w:val="2"/>
        <w:spacing w:after="0" w:line="360" w:lineRule="auto"/>
        <w:ind w:right="135" w:firstLine="708"/>
        <w:jc w:val="both"/>
        <w:rPr>
          <w:rFonts w:ascii="Times New Roman" w:hAnsi="Times New Roman" w:cs="Times New Roman"/>
          <w:color w:val="auto"/>
          <w:sz w:val="24"/>
          <w:szCs w:val="24"/>
          <w:lang w:val="en-US"/>
        </w:rPr>
      </w:pPr>
      <w:r>
        <w:rPr>
          <w:rFonts w:ascii="Times New Roman" w:hAnsi="Times New Roman" w:cs="Times New Roman"/>
          <w:i/>
          <w:color w:val="auto"/>
          <w:sz w:val="24"/>
          <w:szCs w:val="24"/>
        </w:rPr>
        <w:t>Джерело</w:t>
      </w:r>
      <w:r>
        <w:rPr>
          <w:rFonts w:ascii="Times New Roman" w:hAnsi="Times New Roman" w:cs="Times New Roman"/>
          <w:color w:val="auto"/>
          <w:sz w:val="24"/>
          <w:szCs w:val="24"/>
          <w:lang w:val="en-US"/>
        </w:rPr>
        <w:t>: The 201</w:t>
      </w:r>
      <w:r>
        <w:rPr>
          <w:rFonts w:ascii="Times New Roman" w:hAnsi="Times New Roman" w:cs="Times New Roman"/>
          <w:color w:val="auto"/>
          <w:sz w:val="24"/>
          <w:szCs w:val="24"/>
          <w:lang w:val="uk-UA"/>
        </w:rPr>
        <w:t>5</w:t>
      </w:r>
      <w:r>
        <w:rPr>
          <w:rFonts w:ascii="Times New Roman" w:hAnsi="Times New Roman" w:cs="Times New Roman"/>
          <w:color w:val="auto"/>
          <w:sz w:val="24"/>
          <w:szCs w:val="24"/>
          <w:lang w:val="en-US"/>
        </w:rPr>
        <w:t xml:space="preserve"> EU Industrial R&amp;D Investment Scoreboard.</w:t>
      </w:r>
    </w:p>
    <w:p>
      <w:pPr>
        <w:spacing w:line="360" w:lineRule="auto"/>
        <w:ind w:firstLine="709"/>
        <w:jc w:val="both"/>
        <w:rPr>
          <w:sz w:val="28"/>
          <w:szCs w:val="28"/>
          <w:lang w:val="en-US"/>
        </w:rPr>
      </w:pPr>
      <w:r>
        <w:rPr>
          <w:sz w:val="28"/>
          <w:szCs w:val="28"/>
        </w:rPr>
        <w:t>ТНК</w:t>
      </w:r>
      <w:r>
        <w:rPr>
          <w:sz w:val="28"/>
          <w:szCs w:val="28"/>
          <w:lang w:val="en-US"/>
        </w:rPr>
        <w:t xml:space="preserve">, </w:t>
      </w:r>
      <w:r>
        <w:rPr>
          <w:sz w:val="28"/>
          <w:szCs w:val="28"/>
        </w:rPr>
        <w:t>що</w:t>
      </w:r>
      <w:r>
        <w:rPr>
          <w:sz w:val="28"/>
          <w:szCs w:val="28"/>
          <w:lang w:val="en-US"/>
        </w:rPr>
        <w:t xml:space="preserve"> </w:t>
      </w:r>
      <w:r>
        <w:rPr>
          <w:sz w:val="28"/>
          <w:szCs w:val="28"/>
        </w:rPr>
        <w:t>базуються</w:t>
      </w:r>
      <w:r>
        <w:rPr>
          <w:sz w:val="28"/>
          <w:szCs w:val="28"/>
          <w:lang w:val="en-US"/>
        </w:rPr>
        <w:t xml:space="preserve"> </w:t>
      </w:r>
      <w:r>
        <w:rPr>
          <w:sz w:val="28"/>
          <w:szCs w:val="28"/>
        </w:rPr>
        <w:t>в</w:t>
      </w:r>
      <w:r>
        <w:rPr>
          <w:sz w:val="28"/>
          <w:szCs w:val="28"/>
          <w:lang w:val="en-US"/>
        </w:rPr>
        <w:t xml:space="preserve"> </w:t>
      </w:r>
      <w:r>
        <w:rPr>
          <w:sz w:val="28"/>
          <w:szCs w:val="28"/>
        </w:rPr>
        <w:t>ЄС</w:t>
      </w:r>
      <w:r>
        <w:rPr>
          <w:sz w:val="28"/>
          <w:szCs w:val="28"/>
          <w:lang w:val="en-US"/>
        </w:rPr>
        <w:t xml:space="preserve"> </w:t>
      </w:r>
      <w:r>
        <w:rPr>
          <w:sz w:val="28"/>
          <w:szCs w:val="28"/>
        </w:rPr>
        <w:t>показують</w:t>
      </w:r>
      <w:r>
        <w:rPr>
          <w:sz w:val="28"/>
          <w:szCs w:val="28"/>
          <w:lang w:val="en-US"/>
        </w:rPr>
        <w:t xml:space="preserve"> </w:t>
      </w:r>
      <w:r>
        <w:rPr>
          <w:sz w:val="28"/>
          <w:szCs w:val="28"/>
        </w:rPr>
        <w:t>щорічні</w:t>
      </w:r>
      <w:r>
        <w:rPr>
          <w:sz w:val="28"/>
          <w:szCs w:val="28"/>
          <w:lang w:val="en-US"/>
        </w:rPr>
        <w:t xml:space="preserve"> </w:t>
      </w:r>
      <w:r>
        <w:rPr>
          <w:sz w:val="28"/>
          <w:szCs w:val="28"/>
        </w:rPr>
        <w:t>темпи</w:t>
      </w:r>
      <w:r>
        <w:rPr>
          <w:sz w:val="28"/>
          <w:szCs w:val="28"/>
          <w:lang w:val="en-US"/>
        </w:rPr>
        <w:t xml:space="preserve"> </w:t>
      </w:r>
      <w:r>
        <w:rPr>
          <w:sz w:val="28"/>
          <w:szCs w:val="28"/>
        </w:rPr>
        <w:t>зростання</w:t>
      </w:r>
      <w:r>
        <w:rPr>
          <w:sz w:val="28"/>
          <w:szCs w:val="28"/>
          <w:lang w:val="en-US"/>
        </w:rPr>
        <w:t xml:space="preserve"> </w:t>
      </w:r>
      <w:r>
        <w:rPr>
          <w:sz w:val="28"/>
          <w:szCs w:val="28"/>
        </w:rPr>
        <w:t>інвестицій</w:t>
      </w:r>
      <w:r>
        <w:rPr>
          <w:sz w:val="28"/>
          <w:szCs w:val="28"/>
          <w:lang w:val="en-US"/>
        </w:rPr>
        <w:t xml:space="preserve"> </w:t>
      </w:r>
      <w:r>
        <w:rPr>
          <w:sz w:val="28"/>
          <w:szCs w:val="28"/>
        </w:rPr>
        <w:t>в</w:t>
      </w:r>
      <w:r>
        <w:rPr>
          <w:sz w:val="28"/>
          <w:szCs w:val="28"/>
          <w:lang w:val="en-US"/>
        </w:rPr>
        <w:t xml:space="preserve"> </w:t>
      </w:r>
      <w:r>
        <w:rPr>
          <w:sz w:val="28"/>
          <w:szCs w:val="28"/>
        </w:rPr>
        <w:t>інноваційну</w:t>
      </w:r>
      <w:r>
        <w:rPr>
          <w:sz w:val="28"/>
          <w:szCs w:val="28"/>
          <w:lang w:val="en-US"/>
        </w:rPr>
        <w:t xml:space="preserve"> </w:t>
      </w:r>
      <w:r>
        <w:rPr>
          <w:sz w:val="28"/>
          <w:szCs w:val="28"/>
        </w:rPr>
        <w:t>діяльність</w:t>
      </w:r>
      <w:r>
        <w:rPr>
          <w:sz w:val="28"/>
          <w:szCs w:val="28"/>
          <w:lang w:val="en-US"/>
        </w:rPr>
        <w:t xml:space="preserve">, </w:t>
      </w:r>
      <w:r>
        <w:rPr>
          <w:sz w:val="28"/>
          <w:szCs w:val="28"/>
        </w:rPr>
        <w:t>що</w:t>
      </w:r>
      <w:r>
        <w:rPr>
          <w:sz w:val="28"/>
          <w:szCs w:val="28"/>
          <w:lang w:val="en-US"/>
        </w:rPr>
        <w:t xml:space="preserve"> </w:t>
      </w:r>
      <w:r>
        <w:rPr>
          <w:sz w:val="28"/>
          <w:szCs w:val="28"/>
        </w:rPr>
        <w:t>обумовлено</w:t>
      </w:r>
      <w:r>
        <w:rPr>
          <w:sz w:val="28"/>
          <w:szCs w:val="28"/>
          <w:lang w:val="en-US"/>
        </w:rPr>
        <w:t xml:space="preserve"> </w:t>
      </w:r>
      <w:r>
        <w:rPr>
          <w:sz w:val="28"/>
          <w:szCs w:val="28"/>
        </w:rPr>
        <w:t>змішаною</w:t>
      </w:r>
      <w:r>
        <w:rPr>
          <w:sz w:val="28"/>
          <w:szCs w:val="28"/>
          <w:lang w:val="en-US"/>
        </w:rPr>
        <w:t xml:space="preserve"> </w:t>
      </w:r>
      <w:r>
        <w:rPr>
          <w:sz w:val="28"/>
          <w:szCs w:val="28"/>
        </w:rPr>
        <w:t>динамікою</w:t>
      </w:r>
      <w:r>
        <w:rPr>
          <w:sz w:val="28"/>
          <w:szCs w:val="28"/>
          <w:lang w:val="en-US"/>
        </w:rPr>
        <w:t xml:space="preserve"> </w:t>
      </w:r>
      <w:r>
        <w:rPr>
          <w:sz w:val="28"/>
          <w:szCs w:val="28"/>
        </w:rPr>
        <w:t>середньо</w:t>
      </w:r>
      <w:r>
        <w:rPr>
          <w:sz w:val="28"/>
          <w:szCs w:val="28"/>
          <w:lang w:val="en-US"/>
        </w:rPr>
        <w:t xml:space="preserve">- </w:t>
      </w:r>
      <w:r>
        <w:rPr>
          <w:sz w:val="28"/>
          <w:szCs w:val="28"/>
        </w:rPr>
        <w:t>і</w:t>
      </w:r>
      <w:r>
        <w:rPr>
          <w:sz w:val="28"/>
          <w:szCs w:val="28"/>
          <w:lang w:val="en-US"/>
        </w:rPr>
        <w:t xml:space="preserve"> </w:t>
      </w:r>
      <w:r>
        <w:rPr>
          <w:sz w:val="28"/>
          <w:szCs w:val="28"/>
        </w:rPr>
        <w:t>високотехнологічних</w:t>
      </w:r>
      <w:r>
        <w:rPr>
          <w:sz w:val="28"/>
          <w:szCs w:val="28"/>
          <w:lang w:val="en-US"/>
        </w:rPr>
        <w:t xml:space="preserve"> </w:t>
      </w:r>
      <w:r>
        <w:rPr>
          <w:sz w:val="28"/>
          <w:szCs w:val="28"/>
        </w:rPr>
        <w:t>галузей</w:t>
      </w:r>
      <w:r>
        <w:rPr>
          <w:sz w:val="28"/>
          <w:szCs w:val="28"/>
          <w:lang w:val="en-US"/>
        </w:rPr>
        <w:t xml:space="preserve">. </w:t>
      </w:r>
      <w:r>
        <w:rPr>
          <w:sz w:val="28"/>
          <w:szCs w:val="28"/>
        </w:rPr>
        <w:t>Наприклад</w:t>
      </w:r>
      <w:r>
        <w:rPr>
          <w:sz w:val="28"/>
          <w:szCs w:val="28"/>
          <w:lang w:val="en-US"/>
        </w:rPr>
        <w:t xml:space="preserve">, </w:t>
      </w:r>
      <w:r>
        <w:rPr>
          <w:sz w:val="28"/>
          <w:szCs w:val="28"/>
        </w:rPr>
        <w:t>хороші</w:t>
      </w:r>
      <w:r>
        <w:rPr>
          <w:sz w:val="28"/>
          <w:szCs w:val="28"/>
          <w:lang w:val="en-US"/>
        </w:rPr>
        <w:t xml:space="preserve"> </w:t>
      </w:r>
      <w:r>
        <w:rPr>
          <w:sz w:val="28"/>
          <w:szCs w:val="28"/>
        </w:rPr>
        <w:t>результати</w:t>
      </w:r>
      <w:r>
        <w:rPr>
          <w:sz w:val="28"/>
          <w:szCs w:val="28"/>
          <w:lang w:val="en-US"/>
        </w:rPr>
        <w:t xml:space="preserve"> </w:t>
      </w:r>
      <w:r>
        <w:rPr>
          <w:sz w:val="28"/>
          <w:szCs w:val="28"/>
        </w:rPr>
        <w:t>таких</w:t>
      </w:r>
      <w:r>
        <w:rPr>
          <w:sz w:val="28"/>
          <w:szCs w:val="28"/>
          <w:lang w:val="en-US"/>
        </w:rPr>
        <w:t xml:space="preserve"> </w:t>
      </w:r>
      <w:r>
        <w:rPr>
          <w:sz w:val="28"/>
          <w:szCs w:val="28"/>
        </w:rPr>
        <w:t>компаній</w:t>
      </w:r>
      <w:r>
        <w:rPr>
          <w:sz w:val="28"/>
          <w:szCs w:val="28"/>
          <w:lang w:val="en-US"/>
        </w:rPr>
        <w:t xml:space="preserve">, </w:t>
      </w:r>
      <w:r>
        <w:rPr>
          <w:sz w:val="28"/>
          <w:szCs w:val="28"/>
        </w:rPr>
        <w:t>як</w:t>
      </w:r>
      <w:r>
        <w:rPr>
          <w:sz w:val="28"/>
          <w:szCs w:val="28"/>
          <w:lang w:val="en-US"/>
        </w:rPr>
        <w:t xml:space="preserve"> VW (11,7%), Ericsson (17,3%), AstraZeneca (14,5%), Bayer (13,2%), Total (42,6%) </w:t>
      </w:r>
      <w:r>
        <w:rPr>
          <w:sz w:val="28"/>
          <w:szCs w:val="28"/>
        </w:rPr>
        <w:t>і</w:t>
      </w:r>
      <w:r>
        <w:rPr>
          <w:sz w:val="28"/>
          <w:szCs w:val="28"/>
          <w:lang w:val="en-US"/>
        </w:rPr>
        <w:t xml:space="preserve"> Bosch (8,4%) </w:t>
      </w:r>
      <w:r>
        <w:rPr>
          <w:sz w:val="28"/>
          <w:szCs w:val="28"/>
        </w:rPr>
        <w:t>були</w:t>
      </w:r>
      <w:r>
        <w:rPr>
          <w:sz w:val="28"/>
          <w:szCs w:val="28"/>
          <w:lang w:val="en-US"/>
        </w:rPr>
        <w:t xml:space="preserve"> </w:t>
      </w:r>
      <w:r>
        <w:rPr>
          <w:sz w:val="28"/>
          <w:szCs w:val="28"/>
        </w:rPr>
        <w:t>компенсовані</w:t>
      </w:r>
      <w:r>
        <w:rPr>
          <w:sz w:val="28"/>
          <w:szCs w:val="28"/>
          <w:lang w:val="en-US"/>
        </w:rPr>
        <w:t xml:space="preserve"> </w:t>
      </w:r>
      <w:r>
        <w:rPr>
          <w:sz w:val="28"/>
          <w:szCs w:val="28"/>
        </w:rPr>
        <w:t>негативними</w:t>
      </w:r>
      <w:r>
        <w:rPr>
          <w:sz w:val="28"/>
          <w:szCs w:val="28"/>
          <w:lang w:val="en-US"/>
        </w:rPr>
        <w:t xml:space="preserve"> </w:t>
      </w:r>
      <w:r>
        <w:rPr>
          <w:sz w:val="28"/>
          <w:szCs w:val="28"/>
        </w:rPr>
        <w:t>результатами</w:t>
      </w:r>
      <w:r>
        <w:rPr>
          <w:sz w:val="28"/>
          <w:szCs w:val="28"/>
          <w:lang w:val="en-US"/>
        </w:rPr>
        <w:t xml:space="preserve"> </w:t>
      </w:r>
      <w:r>
        <w:rPr>
          <w:sz w:val="28"/>
          <w:szCs w:val="28"/>
        </w:rPr>
        <w:t>таких</w:t>
      </w:r>
      <w:r>
        <w:rPr>
          <w:sz w:val="28"/>
          <w:szCs w:val="28"/>
          <w:lang w:val="en-US"/>
        </w:rPr>
        <w:t xml:space="preserve"> </w:t>
      </w:r>
      <w:r>
        <w:rPr>
          <w:sz w:val="28"/>
          <w:szCs w:val="28"/>
        </w:rPr>
        <w:t>компаній</w:t>
      </w:r>
      <w:r>
        <w:rPr>
          <w:sz w:val="28"/>
          <w:szCs w:val="28"/>
          <w:lang w:val="en-US"/>
        </w:rPr>
        <w:t xml:space="preserve">, </w:t>
      </w:r>
      <w:r>
        <w:rPr>
          <w:sz w:val="28"/>
          <w:szCs w:val="28"/>
        </w:rPr>
        <w:t>як</w:t>
      </w:r>
      <w:r>
        <w:rPr>
          <w:sz w:val="28"/>
          <w:szCs w:val="28"/>
          <w:lang w:val="en-US"/>
        </w:rPr>
        <w:t xml:space="preserve"> Nokia (-21,4%), Alstom (-29,5%), STMicroelectronics (-31,6%), GlaxoSmithKline (-10,5%), </w:t>
      </w:r>
      <w:r>
        <w:rPr>
          <w:sz w:val="28"/>
          <w:szCs w:val="28"/>
        </w:rPr>
        <w:t>Королівський</w:t>
      </w:r>
      <w:r>
        <w:rPr>
          <w:sz w:val="28"/>
          <w:szCs w:val="28"/>
          <w:lang w:val="en-US"/>
        </w:rPr>
        <w:t xml:space="preserve"> </w:t>
      </w:r>
      <w:r>
        <w:rPr>
          <w:sz w:val="28"/>
          <w:szCs w:val="28"/>
        </w:rPr>
        <w:t>банк</w:t>
      </w:r>
      <w:r>
        <w:rPr>
          <w:sz w:val="28"/>
          <w:szCs w:val="28"/>
          <w:lang w:val="en-US"/>
        </w:rPr>
        <w:t xml:space="preserve"> </w:t>
      </w:r>
      <w:r>
        <w:rPr>
          <w:sz w:val="28"/>
          <w:szCs w:val="28"/>
        </w:rPr>
        <w:t>Шотландії</w:t>
      </w:r>
      <w:r>
        <w:rPr>
          <w:sz w:val="28"/>
          <w:szCs w:val="28"/>
          <w:lang w:val="en-US"/>
        </w:rPr>
        <w:t xml:space="preserve"> (-31,5%) </w:t>
      </w:r>
      <w:r>
        <w:rPr>
          <w:sz w:val="28"/>
          <w:szCs w:val="28"/>
        </w:rPr>
        <w:t>і</w:t>
      </w:r>
      <w:r>
        <w:rPr>
          <w:sz w:val="28"/>
          <w:szCs w:val="28"/>
          <w:lang w:val="en-US"/>
        </w:rPr>
        <w:t xml:space="preserve"> Finmeccanica (-14,6%) [4].</w:t>
      </w:r>
    </w:p>
    <w:p>
      <w:pPr>
        <w:spacing w:line="360" w:lineRule="auto"/>
        <w:ind w:firstLine="709"/>
        <w:jc w:val="both"/>
        <w:rPr>
          <w:sz w:val="28"/>
          <w:szCs w:val="28"/>
        </w:rPr>
      </w:pPr>
      <w:r>
        <w:rPr>
          <w:sz w:val="28"/>
          <w:szCs w:val="28"/>
        </w:rPr>
        <w:t>Т</w:t>
      </w:r>
      <w:r>
        <w:rPr>
          <w:sz w:val="28"/>
          <w:szCs w:val="28"/>
          <w:lang w:val="uk-UA"/>
        </w:rPr>
        <w:t>ранснаціональні корпорації</w:t>
      </w:r>
      <w:r>
        <w:rPr>
          <w:sz w:val="28"/>
          <w:szCs w:val="28"/>
          <w:lang w:val="en-US"/>
        </w:rPr>
        <w:t xml:space="preserve"> </w:t>
      </w:r>
      <w:r>
        <w:rPr>
          <w:sz w:val="28"/>
          <w:szCs w:val="28"/>
        </w:rPr>
        <w:t>ЄС</w:t>
      </w:r>
      <w:r>
        <w:rPr>
          <w:sz w:val="28"/>
          <w:szCs w:val="28"/>
          <w:lang w:val="en-US"/>
        </w:rPr>
        <w:t xml:space="preserve"> </w:t>
      </w:r>
      <w:r>
        <w:rPr>
          <w:sz w:val="28"/>
          <w:szCs w:val="28"/>
        </w:rPr>
        <w:t>у</w:t>
      </w:r>
      <w:r>
        <w:rPr>
          <w:sz w:val="28"/>
          <w:szCs w:val="28"/>
          <w:lang w:val="en-US"/>
        </w:rPr>
        <w:t xml:space="preserve"> 2014 </w:t>
      </w:r>
      <w:r>
        <w:rPr>
          <w:sz w:val="28"/>
          <w:szCs w:val="28"/>
        </w:rPr>
        <w:t>році</w:t>
      </w:r>
      <w:r>
        <w:rPr>
          <w:sz w:val="28"/>
          <w:szCs w:val="28"/>
          <w:lang w:val="en-US"/>
        </w:rPr>
        <w:t xml:space="preserve"> </w:t>
      </w:r>
      <w:r>
        <w:rPr>
          <w:sz w:val="28"/>
          <w:szCs w:val="28"/>
        </w:rPr>
        <w:t>виправили</w:t>
      </w:r>
      <w:r>
        <w:rPr>
          <w:sz w:val="28"/>
          <w:szCs w:val="28"/>
          <w:lang w:val="en-US"/>
        </w:rPr>
        <w:t xml:space="preserve"> </w:t>
      </w:r>
      <w:r>
        <w:rPr>
          <w:sz w:val="28"/>
          <w:szCs w:val="28"/>
        </w:rPr>
        <w:t>негативні</w:t>
      </w:r>
      <w:r>
        <w:rPr>
          <w:sz w:val="28"/>
          <w:szCs w:val="28"/>
          <w:lang w:val="en-US"/>
        </w:rPr>
        <w:t xml:space="preserve"> </w:t>
      </w:r>
      <w:r>
        <w:rPr>
          <w:sz w:val="28"/>
          <w:szCs w:val="28"/>
        </w:rPr>
        <w:t>тенденції</w:t>
      </w:r>
      <w:r>
        <w:rPr>
          <w:sz w:val="28"/>
          <w:szCs w:val="28"/>
          <w:lang w:val="en-US"/>
        </w:rPr>
        <w:t xml:space="preserve"> </w:t>
      </w:r>
      <w:r>
        <w:rPr>
          <w:sz w:val="28"/>
          <w:szCs w:val="28"/>
        </w:rPr>
        <w:t>в</w:t>
      </w:r>
      <w:r>
        <w:rPr>
          <w:sz w:val="28"/>
          <w:szCs w:val="28"/>
          <w:lang w:val="en-US"/>
        </w:rPr>
        <w:t xml:space="preserve"> </w:t>
      </w:r>
      <w:r>
        <w:rPr>
          <w:sz w:val="28"/>
          <w:szCs w:val="28"/>
        </w:rPr>
        <w:t>інвестуванні</w:t>
      </w:r>
      <w:r>
        <w:rPr>
          <w:sz w:val="28"/>
          <w:szCs w:val="28"/>
          <w:lang w:val="en-US"/>
        </w:rPr>
        <w:t xml:space="preserve"> </w:t>
      </w:r>
      <w:r>
        <w:rPr>
          <w:sz w:val="28"/>
          <w:szCs w:val="28"/>
        </w:rPr>
        <w:t>інноваційної</w:t>
      </w:r>
      <w:r>
        <w:rPr>
          <w:sz w:val="28"/>
          <w:szCs w:val="28"/>
          <w:lang w:val="en-US"/>
        </w:rPr>
        <w:t xml:space="preserve"> </w:t>
      </w:r>
      <w:r>
        <w:rPr>
          <w:sz w:val="28"/>
          <w:szCs w:val="28"/>
        </w:rPr>
        <w:t>діяльності</w:t>
      </w:r>
      <w:r>
        <w:rPr>
          <w:sz w:val="28"/>
          <w:szCs w:val="28"/>
          <w:lang w:val="en-US"/>
        </w:rPr>
        <w:t xml:space="preserve">, </w:t>
      </w:r>
      <w:r>
        <w:rPr>
          <w:sz w:val="28"/>
          <w:szCs w:val="28"/>
        </w:rPr>
        <w:t>що</w:t>
      </w:r>
      <w:r>
        <w:rPr>
          <w:sz w:val="28"/>
          <w:szCs w:val="28"/>
          <w:lang w:val="en-US"/>
        </w:rPr>
        <w:t xml:space="preserve"> </w:t>
      </w:r>
      <w:r>
        <w:rPr>
          <w:sz w:val="28"/>
          <w:szCs w:val="28"/>
        </w:rPr>
        <w:t>спостерігалися</w:t>
      </w:r>
      <w:r>
        <w:rPr>
          <w:sz w:val="28"/>
          <w:szCs w:val="28"/>
          <w:lang w:val="en-US"/>
        </w:rPr>
        <w:t xml:space="preserve"> </w:t>
      </w:r>
      <w:r>
        <w:rPr>
          <w:sz w:val="28"/>
          <w:szCs w:val="28"/>
        </w:rPr>
        <w:t>останні</w:t>
      </w:r>
      <w:r>
        <w:rPr>
          <w:sz w:val="28"/>
          <w:szCs w:val="28"/>
          <w:lang w:val="en-US"/>
        </w:rPr>
        <w:t xml:space="preserve"> </w:t>
      </w:r>
      <w:r>
        <w:rPr>
          <w:sz w:val="28"/>
          <w:szCs w:val="28"/>
        </w:rPr>
        <w:t>три</w:t>
      </w:r>
      <w:r>
        <w:rPr>
          <w:sz w:val="28"/>
          <w:szCs w:val="28"/>
          <w:lang w:val="en-US"/>
        </w:rPr>
        <w:t xml:space="preserve"> </w:t>
      </w:r>
      <w:r>
        <w:rPr>
          <w:sz w:val="28"/>
          <w:szCs w:val="28"/>
        </w:rPr>
        <w:t>роки</w:t>
      </w:r>
      <w:r>
        <w:rPr>
          <w:sz w:val="28"/>
          <w:szCs w:val="28"/>
          <w:lang w:val="en-US"/>
        </w:rPr>
        <w:t xml:space="preserve">, </w:t>
      </w:r>
      <w:r>
        <w:rPr>
          <w:sz w:val="28"/>
          <w:szCs w:val="28"/>
        </w:rPr>
        <w:t>показуючи</w:t>
      </w:r>
      <w:r>
        <w:rPr>
          <w:sz w:val="28"/>
          <w:szCs w:val="28"/>
          <w:lang w:val="en-US"/>
        </w:rPr>
        <w:t xml:space="preserve"> </w:t>
      </w:r>
      <w:r>
        <w:rPr>
          <w:sz w:val="28"/>
          <w:szCs w:val="28"/>
        </w:rPr>
        <w:t>відновлення</w:t>
      </w:r>
      <w:r>
        <w:rPr>
          <w:sz w:val="28"/>
          <w:szCs w:val="28"/>
          <w:lang w:val="en-US"/>
        </w:rPr>
        <w:t xml:space="preserve"> </w:t>
      </w:r>
      <w:r>
        <w:rPr>
          <w:sz w:val="28"/>
          <w:szCs w:val="28"/>
        </w:rPr>
        <w:t>інвестицій</w:t>
      </w:r>
      <w:r>
        <w:rPr>
          <w:sz w:val="28"/>
          <w:szCs w:val="28"/>
          <w:lang w:val="en-US"/>
        </w:rPr>
        <w:t xml:space="preserve"> </w:t>
      </w:r>
      <w:r>
        <w:rPr>
          <w:sz w:val="28"/>
          <w:szCs w:val="28"/>
        </w:rPr>
        <w:t>в</w:t>
      </w:r>
      <w:r>
        <w:rPr>
          <w:sz w:val="28"/>
          <w:szCs w:val="28"/>
          <w:lang w:val="en-US"/>
        </w:rPr>
        <w:t xml:space="preserve"> </w:t>
      </w:r>
      <w:r>
        <w:rPr>
          <w:sz w:val="28"/>
          <w:szCs w:val="28"/>
        </w:rPr>
        <w:t>НДДКР</w:t>
      </w:r>
      <w:r>
        <w:rPr>
          <w:sz w:val="28"/>
          <w:szCs w:val="28"/>
          <w:lang w:val="en-US"/>
        </w:rPr>
        <w:t xml:space="preserve"> </w:t>
      </w:r>
      <w:r>
        <w:rPr>
          <w:sz w:val="28"/>
          <w:szCs w:val="28"/>
        </w:rPr>
        <w:t>та</w:t>
      </w:r>
      <w:r>
        <w:rPr>
          <w:sz w:val="28"/>
          <w:szCs w:val="28"/>
          <w:lang w:val="en-US"/>
        </w:rPr>
        <w:t xml:space="preserve"> </w:t>
      </w:r>
      <w:r>
        <w:rPr>
          <w:sz w:val="28"/>
          <w:szCs w:val="28"/>
        </w:rPr>
        <w:t>зменшення</w:t>
      </w:r>
      <w:r>
        <w:rPr>
          <w:sz w:val="28"/>
          <w:szCs w:val="28"/>
          <w:lang w:val="en-US"/>
        </w:rPr>
        <w:t xml:space="preserve"> </w:t>
      </w:r>
      <w:r>
        <w:rPr>
          <w:sz w:val="28"/>
          <w:szCs w:val="28"/>
        </w:rPr>
        <w:t>втрат</w:t>
      </w:r>
      <w:r>
        <w:rPr>
          <w:sz w:val="28"/>
          <w:szCs w:val="28"/>
          <w:lang w:val="en-US"/>
        </w:rPr>
        <w:t xml:space="preserve"> </w:t>
      </w:r>
      <w:r>
        <w:rPr>
          <w:sz w:val="28"/>
          <w:szCs w:val="28"/>
        </w:rPr>
        <w:t>в</w:t>
      </w:r>
      <w:r>
        <w:rPr>
          <w:sz w:val="28"/>
          <w:szCs w:val="28"/>
          <w:lang w:val="en-US"/>
        </w:rPr>
        <w:t xml:space="preserve"> </w:t>
      </w:r>
      <w:r>
        <w:rPr>
          <w:sz w:val="28"/>
          <w:szCs w:val="28"/>
        </w:rPr>
        <w:t>чистих</w:t>
      </w:r>
      <w:r>
        <w:rPr>
          <w:sz w:val="28"/>
          <w:szCs w:val="28"/>
          <w:lang w:val="en-US"/>
        </w:rPr>
        <w:t xml:space="preserve"> </w:t>
      </w:r>
      <w:r>
        <w:rPr>
          <w:sz w:val="28"/>
          <w:szCs w:val="28"/>
        </w:rPr>
        <w:t>продажах</w:t>
      </w:r>
      <w:r>
        <w:rPr>
          <w:sz w:val="28"/>
          <w:szCs w:val="28"/>
          <w:lang w:val="en-US"/>
        </w:rPr>
        <w:t xml:space="preserve">. </w:t>
      </w:r>
      <w:r>
        <w:rPr>
          <w:sz w:val="28"/>
          <w:szCs w:val="28"/>
        </w:rPr>
        <w:t>Рентабельність т</w:t>
      </w:r>
      <w:r>
        <w:rPr>
          <w:sz w:val="28"/>
          <w:szCs w:val="28"/>
          <w:lang w:val="uk-UA"/>
        </w:rPr>
        <w:t>ранснаціональних корпораці</w:t>
      </w:r>
      <w:r>
        <w:rPr>
          <w:sz w:val="28"/>
          <w:szCs w:val="28"/>
        </w:rPr>
        <w:t>й ЄС також показує незнечне зростання в порівнянні з попереднім періодом (</w:t>
      </w:r>
      <w:r>
        <w:rPr>
          <w:sz w:val="28"/>
          <w:szCs w:val="28"/>
          <w:lang w:val="uk-UA"/>
        </w:rPr>
        <w:t>рис.2</w:t>
      </w:r>
      <w:r>
        <w:rPr>
          <w:sz w:val="28"/>
          <w:szCs w:val="28"/>
        </w:rPr>
        <w:t>).</w:t>
      </w:r>
    </w:p>
    <w:p>
      <w:pPr>
        <w:widowControl w:val="0"/>
        <w:autoSpaceDE w:val="0"/>
        <w:autoSpaceDN w:val="0"/>
        <w:adjustRightInd w:val="0"/>
        <w:spacing w:line="360" w:lineRule="auto"/>
        <w:ind w:right="135"/>
        <w:jc w:val="both"/>
        <w:rPr>
          <w:sz w:val="28"/>
          <w:szCs w:val="28"/>
        </w:rPr>
      </w:pPr>
      <w:r>
        <w:rPr>
          <w:sz w:val="28"/>
          <w:szCs w:val="28"/>
          <w:lang w:eastAsia="ru-RU"/>
        </w:rPr>
        <w:drawing>
          <wp:inline distT="0" distB="0" distL="0" distR="0">
            <wp:extent cx="5734050" cy="2562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34050" cy="2562225"/>
                    </a:xfrm>
                    <a:prstGeom prst="rect">
                      <a:avLst/>
                    </a:prstGeom>
                    <a:noFill/>
                    <a:ln>
                      <a:noFill/>
                    </a:ln>
                  </pic:spPr>
                </pic:pic>
              </a:graphicData>
            </a:graphic>
          </wp:inline>
        </w:drawing>
      </w:r>
      <w:r>
        <w:rPr>
          <w:sz w:val="28"/>
          <w:szCs w:val="28"/>
        </w:rPr>
        <w:t xml:space="preserve"> </w:t>
      </w:r>
    </w:p>
    <w:p>
      <w:pPr>
        <w:spacing w:line="360" w:lineRule="auto"/>
        <w:ind w:right="135"/>
        <w:jc w:val="center"/>
        <w:rPr>
          <w:b/>
          <w:sz w:val="28"/>
          <w:szCs w:val="28"/>
        </w:rPr>
      </w:pPr>
      <w:r>
        <w:rPr>
          <w:b/>
          <w:sz w:val="28"/>
          <w:szCs w:val="28"/>
        </w:rPr>
        <w:t>Рис. 2 Темпи зростання інвестицій в інноваційну діяльність ТНК ЄС</w:t>
      </w:r>
    </w:p>
    <w:p>
      <w:pPr>
        <w:pStyle w:val="2"/>
        <w:spacing w:after="0" w:line="360" w:lineRule="auto"/>
        <w:ind w:right="135" w:firstLine="708"/>
        <w:jc w:val="both"/>
        <w:rPr>
          <w:rFonts w:ascii="Times New Roman" w:hAnsi="Times New Roman" w:cs="Times New Roman"/>
          <w:color w:val="auto"/>
          <w:sz w:val="24"/>
          <w:szCs w:val="24"/>
          <w:lang w:val="en-US"/>
        </w:rPr>
      </w:pPr>
      <w:r>
        <w:rPr>
          <w:rFonts w:ascii="Times New Roman" w:hAnsi="Times New Roman" w:cs="Times New Roman"/>
          <w:i/>
          <w:color w:val="auto"/>
          <w:sz w:val="24"/>
          <w:szCs w:val="24"/>
        </w:rPr>
        <w:t>Джерело</w:t>
      </w:r>
      <w:r>
        <w:rPr>
          <w:rFonts w:ascii="Times New Roman" w:hAnsi="Times New Roman" w:cs="Times New Roman"/>
          <w:color w:val="auto"/>
          <w:sz w:val="24"/>
          <w:szCs w:val="24"/>
          <w:lang w:val="en-US"/>
        </w:rPr>
        <w:t>: The 201</w:t>
      </w:r>
      <w:r>
        <w:rPr>
          <w:rFonts w:ascii="Times New Roman" w:hAnsi="Times New Roman" w:cs="Times New Roman"/>
          <w:color w:val="auto"/>
          <w:sz w:val="24"/>
          <w:szCs w:val="24"/>
          <w:lang w:val="uk-UA"/>
        </w:rPr>
        <w:t>5</w:t>
      </w:r>
      <w:r>
        <w:rPr>
          <w:rFonts w:ascii="Times New Roman" w:hAnsi="Times New Roman" w:cs="Times New Roman"/>
          <w:color w:val="auto"/>
          <w:sz w:val="24"/>
          <w:szCs w:val="24"/>
          <w:lang w:val="en-US"/>
        </w:rPr>
        <w:t xml:space="preserve"> EU Industrial R&amp;D Investment Scoreboard</w:t>
      </w:r>
    </w:p>
    <w:p>
      <w:pPr>
        <w:spacing w:line="360" w:lineRule="auto"/>
        <w:ind w:right="135"/>
        <w:jc w:val="both"/>
        <w:rPr>
          <w:sz w:val="28"/>
          <w:szCs w:val="28"/>
          <w:lang w:val="en-US"/>
        </w:rPr>
      </w:pPr>
    </w:p>
    <w:p>
      <w:pPr>
        <w:spacing w:line="360" w:lineRule="auto"/>
        <w:ind w:firstLine="709"/>
        <w:jc w:val="both"/>
        <w:rPr>
          <w:sz w:val="28"/>
          <w:szCs w:val="28"/>
          <w:lang w:val="en-US"/>
        </w:rPr>
      </w:pPr>
      <w:r>
        <w:rPr>
          <w:sz w:val="28"/>
          <w:szCs w:val="28"/>
        </w:rPr>
        <w:t>В</w:t>
      </w:r>
      <w:r>
        <w:rPr>
          <w:sz w:val="28"/>
          <w:szCs w:val="28"/>
          <w:lang w:val="en-US"/>
        </w:rPr>
        <w:t xml:space="preserve"> </w:t>
      </w:r>
      <w:r>
        <w:rPr>
          <w:sz w:val="28"/>
          <w:szCs w:val="28"/>
        </w:rPr>
        <w:t>Топ</w:t>
      </w:r>
      <w:r>
        <w:rPr>
          <w:sz w:val="28"/>
          <w:szCs w:val="28"/>
          <w:lang w:val="en-US"/>
        </w:rPr>
        <w:t xml:space="preserve"> 100 </w:t>
      </w:r>
      <w:r>
        <w:rPr>
          <w:sz w:val="28"/>
          <w:szCs w:val="28"/>
        </w:rPr>
        <w:t>світових</w:t>
      </w:r>
      <w:r>
        <w:rPr>
          <w:sz w:val="28"/>
          <w:szCs w:val="28"/>
          <w:lang w:val="en-US"/>
        </w:rPr>
        <w:t xml:space="preserve"> </w:t>
      </w:r>
      <w:r>
        <w:rPr>
          <w:sz w:val="28"/>
          <w:szCs w:val="28"/>
        </w:rPr>
        <w:t>компаній</w:t>
      </w:r>
      <w:r>
        <w:rPr>
          <w:sz w:val="28"/>
          <w:szCs w:val="28"/>
          <w:lang w:val="en-US"/>
        </w:rPr>
        <w:t xml:space="preserve">, </w:t>
      </w:r>
      <w:r>
        <w:rPr>
          <w:sz w:val="28"/>
          <w:szCs w:val="28"/>
        </w:rPr>
        <w:t>що</w:t>
      </w:r>
      <w:r>
        <w:rPr>
          <w:sz w:val="28"/>
          <w:szCs w:val="28"/>
          <w:lang w:val="en-US"/>
        </w:rPr>
        <w:t xml:space="preserve"> </w:t>
      </w:r>
      <w:r>
        <w:rPr>
          <w:sz w:val="28"/>
          <w:szCs w:val="28"/>
        </w:rPr>
        <w:t>здійснюють</w:t>
      </w:r>
      <w:r>
        <w:rPr>
          <w:sz w:val="28"/>
          <w:szCs w:val="28"/>
          <w:lang w:val="en-US"/>
        </w:rPr>
        <w:t xml:space="preserve"> </w:t>
      </w:r>
      <w:r>
        <w:rPr>
          <w:sz w:val="28"/>
          <w:szCs w:val="28"/>
        </w:rPr>
        <w:t>інвестиції</w:t>
      </w:r>
      <w:r>
        <w:rPr>
          <w:sz w:val="28"/>
          <w:szCs w:val="28"/>
          <w:lang w:val="en-US"/>
        </w:rPr>
        <w:t xml:space="preserve"> </w:t>
      </w:r>
      <w:r>
        <w:rPr>
          <w:sz w:val="28"/>
          <w:szCs w:val="28"/>
        </w:rPr>
        <w:t>в</w:t>
      </w:r>
      <w:r>
        <w:rPr>
          <w:sz w:val="28"/>
          <w:szCs w:val="28"/>
          <w:lang w:val="en-US"/>
        </w:rPr>
        <w:t xml:space="preserve"> </w:t>
      </w:r>
      <w:r>
        <w:rPr>
          <w:sz w:val="28"/>
          <w:szCs w:val="28"/>
        </w:rPr>
        <w:t>інноваційну</w:t>
      </w:r>
      <w:r>
        <w:rPr>
          <w:sz w:val="28"/>
          <w:szCs w:val="28"/>
          <w:lang w:val="en-US"/>
        </w:rPr>
        <w:t xml:space="preserve"> </w:t>
      </w:r>
      <w:r>
        <w:rPr>
          <w:sz w:val="28"/>
          <w:szCs w:val="28"/>
        </w:rPr>
        <w:t>діяльність</w:t>
      </w:r>
      <w:r>
        <w:rPr>
          <w:sz w:val="28"/>
          <w:szCs w:val="28"/>
          <w:lang w:val="en-US"/>
        </w:rPr>
        <w:t xml:space="preserve"> </w:t>
      </w:r>
      <w:r>
        <w:rPr>
          <w:sz w:val="28"/>
          <w:szCs w:val="28"/>
        </w:rPr>
        <w:t>входять</w:t>
      </w:r>
      <w:r>
        <w:rPr>
          <w:sz w:val="28"/>
          <w:szCs w:val="28"/>
          <w:lang w:val="en-US"/>
        </w:rPr>
        <w:t xml:space="preserve"> 29 </w:t>
      </w:r>
      <w:r>
        <w:rPr>
          <w:sz w:val="28"/>
          <w:szCs w:val="28"/>
        </w:rPr>
        <w:t>т</w:t>
      </w:r>
      <w:r>
        <w:rPr>
          <w:sz w:val="28"/>
          <w:szCs w:val="28"/>
          <w:lang w:val="uk-UA"/>
        </w:rPr>
        <w:t>ранснаціональних корпораці</w:t>
      </w:r>
      <w:r>
        <w:rPr>
          <w:sz w:val="28"/>
          <w:szCs w:val="28"/>
        </w:rPr>
        <w:t>й</w:t>
      </w:r>
      <w:r>
        <w:rPr>
          <w:sz w:val="28"/>
          <w:szCs w:val="28"/>
          <w:lang w:val="en-US"/>
        </w:rPr>
        <w:t xml:space="preserve"> </w:t>
      </w:r>
      <w:r>
        <w:rPr>
          <w:sz w:val="28"/>
          <w:szCs w:val="28"/>
        </w:rPr>
        <w:t>ЄС</w:t>
      </w:r>
      <w:r>
        <w:rPr>
          <w:sz w:val="28"/>
          <w:szCs w:val="28"/>
          <w:lang w:val="en-US"/>
        </w:rPr>
        <w:t xml:space="preserve">, </w:t>
      </w:r>
      <w:r>
        <w:rPr>
          <w:sz w:val="28"/>
          <w:szCs w:val="28"/>
        </w:rPr>
        <w:t>це</w:t>
      </w:r>
      <w:r>
        <w:rPr>
          <w:sz w:val="28"/>
          <w:szCs w:val="28"/>
          <w:lang w:val="en-US"/>
        </w:rPr>
        <w:t xml:space="preserve"> </w:t>
      </w:r>
      <w:r>
        <w:rPr>
          <w:sz w:val="28"/>
          <w:szCs w:val="28"/>
        </w:rPr>
        <w:t>в</w:t>
      </w:r>
      <w:r>
        <w:rPr>
          <w:sz w:val="28"/>
          <w:szCs w:val="28"/>
          <w:lang w:val="en-US"/>
        </w:rPr>
        <w:t xml:space="preserve"> </w:t>
      </w:r>
      <w:r>
        <w:rPr>
          <w:sz w:val="28"/>
          <w:szCs w:val="28"/>
        </w:rPr>
        <w:t>основному</w:t>
      </w:r>
      <w:r>
        <w:rPr>
          <w:sz w:val="28"/>
          <w:szCs w:val="28"/>
          <w:lang w:val="en-US"/>
        </w:rPr>
        <w:t xml:space="preserve"> </w:t>
      </w:r>
      <w:r>
        <w:rPr>
          <w:sz w:val="28"/>
          <w:szCs w:val="28"/>
        </w:rPr>
        <w:t>автомобільні</w:t>
      </w:r>
      <w:r>
        <w:rPr>
          <w:sz w:val="28"/>
          <w:szCs w:val="28"/>
          <w:lang w:val="en-US"/>
        </w:rPr>
        <w:t xml:space="preserve"> </w:t>
      </w:r>
      <w:r>
        <w:rPr>
          <w:sz w:val="28"/>
          <w:szCs w:val="28"/>
        </w:rPr>
        <w:t>компанії</w:t>
      </w:r>
      <w:r>
        <w:rPr>
          <w:sz w:val="28"/>
          <w:szCs w:val="28"/>
          <w:lang w:val="en-US"/>
        </w:rPr>
        <w:t xml:space="preserve"> (7), </w:t>
      </w:r>
      <w:r>
        <w:rPr>
          <w:sz w:val="28"/>
          <w:szCs w:val="28"/>
        </w:rPr>
        <w:t>фармацевтика</w:t>
      </w:r>
      <w:r>
        <w:rPr>
          <w:sz w:val="28"/>
          <w:szCs w:val="28"/>
          <w:lang w:val="en-US"/>
        </w:rPr>
        <w:t xml:space="preserve"> </w:t>
      </w:r>
      <w:r>
        <w:rPr>
          <w:sz w:val="28"/>
          <w:szCs w:val="28"/>
        </w:rPr>
        <w:t>і</w:t>
      </w:r>
      <w:r>
        <w:rPr>
          <w:sz w:val="28"/>
          <w:szCs w:val="28"/>
          <w:lang w:val="en-US"/>
        </w:rPr>
        <w:t xml:space="preserve"> </w:t>
      </w:r>
      <w:r>
        <w:rPr>
          <w:sz w:val="28"/>
          <w:szCs w:val="28"/>
        </w:rPr>
        <w:t>біотехнології</w:t>
      </w:r>
      <w:r>
        <w:rPr>
          <w:sz w:val="28"/>
          <w:szCs w:val="28"/>
          <w:lang w:val="en-US"/>
        </w:rPr>
        <w:t xml:space="preserve"> (5) </w:t>
      </w:r>
      <w:r>
        <w:rPr>
          <w:sz w:val="28"/>
          <w:szCs w:val="28"/>
        </w:rPr>
        <w:t>та</w:t>
      </w:r>
      <w:r>
        <w:rPr>
          <w:sz w:val="28"/>
          <w:szCs w:val="28"/>
          <w:lang w:val="en-US"/>
        </w:rPr>
        <w:t xml:space="preserve"> </w:t>
      </w:r>
      <w:r>
        <w:rPr>
          <w:sz w:val="28"/>
          <w:szCs w:val="28"/>
        </w:rPr>
        <w:t>інформаційно</w:t>
      </w:r>
      <w:r>
        <w:rPr>
          <w:sz w:val="28"/>
          <w:szCs w:val="28"/>
          <w:lang w:val="en-US"/>
        </w:rPr>
        <w:t>-</w:t>
      </w:r>
      <w:r>
        <w:rPr>
          <w:sz w:val="28"/>
          <w:szCs w:val="28"/>
        </w:rPr>
        <w:t>комунікаційні</w:t>
      </w:r>
      <w:r>
        <w:rPr>
          <w:sz w:val="28"/>
          <w:szCs w:val="28"/>
          <w:lang w:val="en-US"/>
        </w:rPr>
        <w:t xml:space="preserve"> </w:t>
      </w:r>
      <w:r>
        <w:rPr>
          <w:sz w:val="28"/>
          <w:szCs w:val="28"/>
        </w:rPr>
        <w:t>технології</w:t>
      </w:r>
      <w:r>
        <w:rPr>
          <w:sz w:val="28"/>
          <w:szCs w:val="28"/>
          <w:lang w:val="en-US"/>
        </w:rPr>
        <w:t xml:space="preserve"> (3). 37 </w:t>
      </w:r>
      <w:r>
        <w:rPr>
          <w:sz w:val="28"/>
          <w:szCs w:val="28"/>
        </w:rPr>
        <w:t>т</w:t>
      </w:r>
      <w:r>
        <w:rPr>
          <w:sz w:val="28"/>
          <w:szCs w:val="28"/>
          <w:lang w:val="uk-UA"/>
        </w:rPr>
        <w:t>ранснаціональних корпораці</w:t>
      </w:r>
      <w:r>
        <w:rPr>
          <w:sz w:val="28"/>
          <w:szCs w:val="28"/>
        </w:rPr>
        <w:t>й</w:t>
      </w:r>
      <w:r>
        <w:rPr>
          <w:sz w:val="28"/>
          <w:szCs w:val="28"/>
          <w:lang w:val="en-US"/>
        </w:rPr>
        <w:t xml:space="preserve"> </w:t>
      </w:r>
      <w:r>
        <w:rPr>
          <w:sz w:val="28"/>
          <w:szCs w:val="28"/>
        </w:rPr>
        <w:t>США</w:t>
      </w:r>
      <w:r>
        <w:rPr>
          <w:sz w:val="28"/>
          <w:szCs w:val="28"/>
          <w:lang w:val="en-US"/>
        </w:rPr>
        <w:t xml:space="preserve">, </w:t>
      </w:r>
      <w:r>
        <w:rPr>
          <w:sz w:val="28"/>
          <w:szCs w:val="28"/>
        </w:rPr>
        <w:t>основні</w:t>
      </w:r>
      <w:r>
        <w:rPr>
          <w:sz w:val="28"/>
          <w:szCs w:val="28"/>
          <w:lang w:val="en-US"/>
        </w:rPr>
        <w:t xml:space="preserve"> </w:t>
      </w:r>
      <w:r>
        <w:rPr>
          <w:sz w:val="28"/>
          <w:szCs w:val="28"/>
        </w:rPr>
        <w:t>з</w:t>
      </w:r>
      <w:r>
        <w:rPr>
          <w:sz w:val="28"/>
          <w:szCs w:val="28"/>
          <w:lang w:val="en-US"/>
        </w:rPr>
        <w:t xml:space="preserve"> </w:t>
      </w:r>
      <w:r>
        <w:rPr>
          <w:sz w:val="28"/>
          <w:szCs w:val="28"/>
        </w:rPr>
        <w:t>них</w:t>
      </w:r>
      <w:r>
        <w:rPr>
          <w:sz w:val="28"/>
          <w:szCs w:val="28"/>
          <w:lang w:val="en-US"/>
        </w:rPr>
        <w:t xml:space="preserve"> </w:t>
      </w:r>
      <w:r>
        <w:rPr>
          <w:sz w:val="28"/>
          <w:szCs w:val="28"/>
        </w:rPr>
        <w:t>в</w:t>
      </w:r>
      <w:r>
        <w:rPr>
          <w:sz w:val="28"/>
          <w:szCs w:val="28"/>
          <w:lang w:val="en-US"/>
        </w:rPr>
        <w:t xml:space="preserve"> </w:t>
      </w:r>
      <w:r>
        <w:rPr>
          <w:sz w:val="28"/>
          <w:szCs w:val="28"/>
        </w:rPr>
        <w:t>наступних</w:t>
      </w:r>
      <w:r>
        <w:rPr>
          <w:sz w:val="28"/>
          <w:szCs w:val="28"/>
          <w:lang w:val="en-US"/>
        </w:rPr>
        <w:t xml:space="preserve"> </w:t>
      </w:r>
      <w:r>
        <w:rPr>
          <w:sz w:val="28"/>
          <w:szCs w:val="28"/>
        </w:rPr>
        <w:t>галузях</w:t>
      </w:r>
      <w:r>
        <w:rPr>
          <w:sz w:val="28"/>
          <w:szCs w:val="28"/>
          <w:lang w:val="en-US"/>
        </w:rPr>
        <w:t xml:space="preserve">: </w:t>
      </w:r>
      <w:r>
        <w:rPr>
          <w:sz w:val="28"/>
          <w:szCs w:val="28"/>
        </w:rPr>
        <w:t>інформаційно</w:t>
      </w:r>
      <w:r>
        <w:rPr>
          <w:sz w:val="28"/>
          <w:szCs w:val="28"/>
          <w:lang w:val="en-US"/>
        </w:rPr>
        <w:t>-</w:t>
      </w:r>
      <w:r>
        <w:rPr>
          <w:sz w:val="28"/>
          <w:szCs w:val="28"/>
        </w:rPr>
        <w:t>комунікаційні</w:t>
      </w:r>
      <w:r>
        <w:rPr>
          <w:sz w:val="28"/>
          <w:szCs w:val="28"/>
          <w:lang w:val="en-US"/>
        </w:rPr>
        <w:t xml:space="preserve"> </w:t>
      </w:r>
      <w:r>
        <w:rPr>
          <w:sz w:val="28"/>
          <w:szCs w:val="28"/>
        </w:rPr>
        <w:t>технології</w:t>
      </w:r>
      <w:r>
        <w:rPr>
          <w:sz w:val="28"/>
          <w:szCs w:val="28"/>
          <w:lang w:val="en-US"/>
        </w:rPr>
        <w:t xml:space="preserve"> (13), </w:t>
      </w:r>
      <w:r>
        <w:rPr>
          <w:sz w:val="28"/>
          <w:szCs w:val="28"/>
        </w:rPr>
        <w:t>фармацевтика</w:t>
      </w:r>
      <w:r>
        <w:rPr>
          <w:sz w:val="28"/>
          <w:szCs w:val="28"/>
          <w:lang w:val="en-US"/>
        </w:rPr>
        <w:t xml:space="preserve"> </w:t>
      </w:r>
      <w:r>
        <w:rPr>
          <w:sz w:val="28"/>
          <w:szCs w:val="28"/>
        </w:rPr>
        <w:t>і</w:t>
      </w:r>
      <w:r>
        <w:rPr>
          <w:sz w:val="28"/>
          <w:szCs w:val="28"/>
          <w:lang w:val="en-US"/>
        </w:rPr>
        <w:t xml:space="preserve"> </w:t>
      </w:r>
      <w:r>
        <w:rPr>
          <w:sz w:val="28"/>
          <w:szCs w:val="28"/>
        </w:rPr>
        <w:t>біотехнології</w:t>
      </w:r>
      <w:r>
        <w:rPr>
          <w:sz w:val="28"/>
          <w:szCs w:val="28"/>
          <w:lang w:val="en-US"/>
        </w:rPr>
        <w:t xml:space="preserve"> (10), </w:t>
      </w:r>
      <w:r>
        <w:rPr>
          <w:sz w:val="28"/>
          <w:szCs w:val="28"/>
        </w:rPr>
        <w:t>хімічна</w:t>
      </w:r>
      <w:r>
        <w:rPr>
          <w:sz w:val="28"/>
          <w:szCs w:val="28"/>
          <w:lang w:val="en-US"/>
        </w:rPr>
        <w:t xml:space="preserve"> </w:t>
      </w:r>
      <w:r>
        <w:rPr>
          <w:sz w:val="28"/>
          <w:szCs w:val="28"/>
        </w:rPr>
        <w:t>галузь</w:t>
      </w:r>
      <w:r>
        <w:rPr>
          <w:sz w:val="28"/>
          <w:szCs w:val="28"/>
          <w:lang w:val="en-US"/>
        </w:rPr>
        <w:t xml:space="preserve"> (3). 16 </w:t>
      </w:r>
      <w:r>
        <w:rPr>
          <w:sz w:val="28"/>
          <w:szCs w:val="28"/>
        </w:rPr>
        <w:t>японських</w:t>
      </w:r>
      <w:r>
        <w:rPr>
          <w:sz w:val="28"/>
          <w:szCs w:val="28"/>
          <w:lang w:val="en-US"/>
        </w:rPr>
        <w:t xml:space="preserve"> </w:t>
      </w:r>
      <w:r>
        <w:rPr>
          <w:sz w:val="28"/>
          <w:szCs w:val="28"/>
        </w:rPr>
        <w:t>компаній</w:t>
      </w:r>
      <w:r>
        <w:rPr>
          <w:sz w:val="28"/>
          <w:szCs w:val="28"/>
          <w:lang w:val="en-US"/>
        </w:rPr>
        <w:t xml:space="preserve">, </w:t>
      </w:r>
      <w:r>
        <w:rPr>
          <w:sz w:val="28"/>
          <w:szCs w:val="28"/>
        </w:rPr>
        <w:t>які</w:t>
      </w:r>
      <w:r>
        <w:rPr>
          <w:sz w:val="28"/>
          <w:szCs w:val="28"/>
          <w:lang w:val="en-US"/>
        </w:rPr>
        <w:t xml:space="preserve"> </w:t>
      </w:r>
      <w:r>
        <w:rPr>
          <w:sz w:val="28"/>
          <w:szCs w:val="28"/>
        </w:rPr>
        <w:t>діляться</w:t>
      </w:r>
      <w:r>
        <w:rPr>
          <w:sz w:val="28"/>
          <w:szCs w:val="28"/>
          <w:lang w:val="en-US"/>
        </w:rPr>
        <w:t xml:space="preserve"> </w:t>
      </w:r>
      <w:r>
        <w:rPr>
          <w:sz w:val="28"/>
          <w:szCs w:val="28"/>
        </w:rPr>
        <w:t>на</w:t>
      </w:r>
      <w:r>
        <w:rPr>
          <w:sz w:val="28"/>
          <w:szCs w:val="28"/>
          <w:lang w:val="en-US"/>
        </w:rPr>
        <w:t xml:space="preserve"> </w:t>
      </w:r>
      <w:r>
        <w:rPr>
          <w:sz w:val="28"/>
          <w:szCs w:val="28"/>
        </w:rPr>
        <w:t>автомобільну</w:t>
      </w:r>
      <w:r>
        <w:rPr>
          <w:sz w:val="28"/>
          <w:szCs w:val="28"/>
          <w:lang w:val="en-US"/>
        </w:rPr>
        <w:t xml:space="preserve"> </w:t>
      </w:r>
      <w:r>
        <w:rPr>
          <w:sz w:val="28"/>
          <w:szCs w:val="28"/>
        </w:rPr>
        <w:t>галузь</w:t>
      </w:r>
      <w:r>
        <w:rPr>
          <w:sz w:val="28"/>
          <w:szCs w:val="28"/>
          <w:lang w:val="en-US"/>
        </w:rPr>
        <w:t xml:space="preserve"> (8) </w:t>
      </w:r>
      <w:r>
        <w:rPr>
          <w:sz w:val="28"/>
          <w:szCs w:val="28"/>
        </w:rPr>
        <w:t>та</w:t>
      </w:r>
      <w:r>
        <w:rPr>
          <w:sz w:val="28"/>
          <w:szCs w:val="28"/>
          <w:lang w:val="en-US"/>
        </w:rPr>
        <w:t xml:space="preserve"> </w:t>
      </w:r>
      <w:r>
        <w:rPr>
          <w:sz w:val="28"/>
          <w:szCs w:val="28"/>
        </w:rPr>
        <w:t>фармацевтичну</w:t>
      </w:r>
      <w:r>
        <w:rPr>
          <w:sz w:val="28"/>
          <w:szCs w:val="28"/>
          <w:lang w:val="en-US"/>
        </w:rPr>
        <w:t xml:space="preserve"> (8). </w:t>
      </w:r>
      <w:r>
        <w:rPr>
          <w:sz w:val="28"/>
          <w:szCs w:val="28"/>
        </w:rPr>
        <w:t>Також</w:t>
      </w:r>
      <w:r>
        <w:rPr>
          <w:sz w:val="28"/>
          <w:szCs w:val="28"/>
          <w:lang w:val="en-US"/>
        </w:rPr>
        <w:t xml:space="preserve">, </w:t>
      </w:r>
      <w:r>
        <w:rPr>
          <w:sz w:val="28"/>
          <w:szCs w:val="28"/>
        </w:rPr>
        <w:t>в</w:t>
      </w:r>
      <w:r>
        <w:rPr>
          <w:sz w:val="28"/>
          <w:szCs w:val="28"/>
          <w:lang w:val="en-US"/>
        </w:rPr>
        <w:t xml:space="preserve"> </w:t>
      </w:r>
      <w:r>
        <w:rPr>
          <w:sz w:val="28"/>
          <w:szCs w:val="28"/>
        </w:rPr>
        <w:t>Топ</w:t>
      </w:r>
      <w:r>
        <w:rPr>
          <w:sz w:val="28"/>
          <w:szCs w:val="28"/>
          <w:lang w:val="en-US"/>
        </w:rPr>
        <w:t xml:space="preserve"> 100 </w:t>
      </w:r>
      <w:r>
        <w:rPr>
          <w:sz w:val="28"/>
          <w:szCs w:val="28"/>
        </w:rPr>
        <w:t>світових</w:t>
      </w:r>
      <w:r>
        <w:rPr>
          <w:sz w:val="28"/>
          <w:szCs w:val="28"/>
          <w:lang w:val="en-US"/>
        </w:rPr>
        <w:t xml:space="preserve"> </w:t>
      </w:r>
      <w:r>
        <w:rPr>
          <w:sz w:val="28"/>
          <w:szCs w:val="28"/>
        </w:rPr>
        <w:t>компаній</w:t>
      </w:r>
      <w:r>
        <w:rPr>
          <w:sz w:val="28"/>
          <w:szCs w:val="28"/>
          <w:lang w:val="en-US"/>
        </w:rPr>
        <w:t xml:space="preserve"> </w:t>
      </w:r>
      <w:r>
        <w:rPr>
          <w:sz w:val="28"/>
          <w:szCs w:val="28"/>
        </w:rPr>
        <w:t>з</w:t>
      </w:r>
      <w:r>
        <w:rPr>
          <w:sz w:val="28"/>
          <w:szCs w:val="28"/>
          <w:lang w:val="en-US"/>
        </w:rPr>
        <w:t xml:space="preserve"> </w:t>
      </w:r>
      <w:r>
        <w:rPr>
          <w:sz w:val="28"/>
          <w:szCs w:val="28"/>
        </w:rPr>
        <w:t>інвестицій</w:t>
      </w:r>
      <w:r>
        <w:rPr>
          <w:sz w:val="28"/>
          <w:szCs w:val="28"/>
          <w:lang w:val="en-US"/>
        </w:rPr>
        <w:t xml:space="preserve"> </w:t>
      </w:r>
      <w:r>
        <w:rPr>
          <w:sz w:val="28"/>
          <w:szCs w:val="28"/>
        </w:rPr>
        <w:t>в</w:t>
      </w:r>
      <w:r>
        <w:rPr>
          <w:sz w:val="28"/>
          <w:szCs w:val="28"/>
          <w:lang w:val="en-US"/>
        </w:rPr>
        <w:t xml:space="preserve"> </w:t>
      </w:r>
      <w:r>
        <w:rPr>
          <w:sz w:val="28"/>
          <w:szCs w:val="28"/>
        </w:rPr>
        <w:t>інноваційну</w:t>
      </w:r>
      <w:r>
        <w:rPr>
          <w:sz w:val="28"/>
          <w:szCs w:val="28"/>
          <w:lang w:val="en-US"/>
        </w:rPr>
        <w:t xml:space="preserve"> </w:t>
      </w:r>
      <w:r>
        <w:rPr>
          <w:sz w:val="28"/>
          <w:szCs w:val="28"/>
        </w:rPr>
        <w:t>діяльність</w:t>
      </w:r>
      <w:r>
        <w:rPr>
          <w:sz w:val="28"/>
          <w:szCs w:val="28"/>
          <w:lang w:val="en-US"/>
        </w:rPr>
        <w:t xml:space="preserve"> </w:t>
      </w:r>
      <w:r>
        <w:rPr>
          <w:sz w:val="28"/>
          <w:szCs w:val="28"/>
        </w:rPr>
        <w:t>входять</w:t>
      </w:r>
      <w:r>
        <w:rPr>
          <w:sz w:val="28"/>
          <w:szCs w:val="28"/>
          <w:lang w:val="en-US"/>
        </w:rPr>
        <w:t xml:space="preserve"> 18 </w:t>
      </w:r>
      <w:r>
        <w:rPr>
          <w:sz w:val="28"/>
          <w:szCs w:val="28"/>
        </w:rPr>
        <w:t>компаній</w:t>
      </w:r>
      <w:r>
        <w:rPr>
          <w:sz w:val="28"/>
          <w:szCs w:val="28"/>
          <w:lang w:val="en-US"/>
        </w:rPr>
        <w:t xml:space="preserve"> </w:t>
      </w:r>
      <w:r>
        <w:rPr>
          <w:sz w:val="28"/>
          <w:szCs w:val="28"/>
        </w:rPr>
        <w:t>з</w:t>
      </w:r>
      <w:r>
        <w:rPr>
          <w:sz w:val="28"/>
          <w:szCs w:val="28"/>
          <w:lang w:val="en-US"/>
        </w:rPr>
        <w:t xml:space="preserve"> </w:t>
      </w:r>
      <w:r>
        <w:rPr>
          <w:sz w:val="28"/>
          <w:szCs w:val="28"/>
        </w:rPr>
        <w:t>інших</w:t>
      </w:r>
      <w:r>
        <w:rPr>
          <w:sz w:val="28"/>
          <w:szCs w:val="28"/>
          <w:lang w:val="en-US"/>
        </w:rPr>
        <w:t xml:space="preserve"> </w:t>
      </w:r>
      <w:r>
        <w:rPr>
          <w:sz w:val="28"/>
          <w:szCs w:val="28"/>
        </w:rPr>
        <w:t>країн</w:t>
      </w:r>
      <w:r>
        <w:rPr>
          <w:sz w:val="28"/>
          <w:szCs w:val="28"/>
          <w:lang w:val="en-US"/>
        </w:rPr>
        <w:t xml:space="preserve"> </w:t>
      </w:r>
      <w:r>
        <w:rPr>
          <w:sz w:val="28"/>
          <w:szCs w:val="28"/>
        </w:rPr>
        <w:t>світу</w:t>
      </w:r>
      <w:r>
        <w:rPr>
          <w:sz w:val="28"/>
          <w:szCs w:val="28"/>
          <w:lang w:val="en-US"/>
        </w:rPr>
        <w:t>.</w:t>
      </w:r>
    </w:p>
    <w:p>
      <w:pPr>
        <w:spacing w:line="360" w:lineRule="auto"/>
        <w:ind w:firstLine="709"/>
        <w:jc w:val="both"/>
        <w:rPr>
          <w:sz w:val="28"/>
          <w:szCs w:val="28"/>
          <w:lang w:val="en-US"/>
        </w:rPr>
      </w:pPr>
      <w:r>
        <w:rPr>
          <w:sz w:val="28"/>
          <w:szCs w:val="28"/>
        </w:rPr>
        <w:t>Програмне</w:t>
      </w:r>
      <w:r>
        <w:rPr>
          <w:sz w:val="28"/>
          <w:szCs w:val="28"/>
          <w:lang w:val="en-US"/>
        </w:rPr>
        <w:t xml:space="preserve"> </w:t>
      </w:r>
      <w:r>
        <w:rPr>
          <w:sz w:val="28"/>
          <w:szCs w:val="28"/>
        </w:rPr>
        <w:t>забезпечення</w:t>
      </w:r>
      <w:r>
        <w:rPr>
          <w:sz w:val="28"/>
          <w:szCs w:val="28"/>
          <w:lang w:val="en-US"/>
        </w:rPr>
        <w:t xml:space="preserve">, </w:t>
      </w:r>
      <w:r>
        <w:rPr>
          <w:sz w:val="28"/>
          <w:szCs w:val="28"/>
        </w:rPr>
        <w:t>високі</w:t>
      </w:r>
      <w:r>
        <w:rPr>
          <w:sz w:val="28"/>
          <w:szCs w:val="28"/>
          <w:lang w:val="en-US"/>
        </w:rPr>
        <w:t xml:space="preserve"> </w:t>
      </w:r>
      <w:r>
        <w:rPr>
          <w:sz w:val="28"/>
          <w:szCs w:val="28"/>
        </w:rPr>
        <w:t>технології</w:t>
      </w:r>
      <w:r>
        <w:rPr>
          <w:sz w:val="28"/>
          <w:szCs w:val="28"/>
          <w:lang w:val="en-US"/>
        </w:rPr>
        <w:t xml:space="preserve"> </w:t>
      </w:r>
      <w:r>
        <w:rPr>
          <w:sz w:val="28"/>
          <w:szCs w:val="28"/>
        </w:rPr>
        <w:t>та</w:t>
      </w:r>
      <w:r>
        <w:rPr>
          <w:sz w:val="28"/>
          <w:szCs w:val="28"/>
          <w:lang w:val="en-US"/>
        </w:rPr>
        <w:t xml:space="preserve"> </w:t>
      </w:r>
      <w:r>
        <w:rPr>
          <w:sz w:val="28"/>
          <w:szCs w:val="28"/>
        </w:rPr>
        <w:t>фармацевтика</w:t>
      </w:r>
      <w:r>
        <w:rPr>
          <w:sz w:val="28"/>
          <w:szCs w:val="28"/>
          <w:lang w:val="en-US"/>
        </w:rPr>
        <w:t xml:space="preserve"> – </w:t>
      </w:r>
      <w:r>
        <w:rPr>
          <w:sz w:val="28"/>
          <w:szCs w:val="28"/>
        </w:rPr>
        <w:t>три</w:t>
      </w:r>
      <w:r>
        <w:rPr>
          <w:sz w:val="28"/>
          <w:szCs w:val="28"/>
          <w:lang w:val="en-US"/>
        </w:rPr>
        <w:t xml:space="preserve"> </w:t>
      </w:r>
      <w:r>
        <w:rPr>
          <w:sz w:val="28"/>
          <w:szCs w:val="28"/>
        </w:rPr>
        <w:t>основні</w:t>
      </w:r>
      <w:r>
        <w:rPr>
          <w:sz w:val="28"/>
          <w:szCs w:val="28"/>
          <w:lang w:val="en-US"/>
        </w:rPr>
        <w:t xml:space="preserve"> </w:t>
      </w:r>
      <w:r>
        <w:rPr>
          <w:sz w:val="28"/>
          <w:szCs w:val="28"/>
        </w:rPr>
        <w:t>галузі</w:t>
      </w:r>
      <w:r>
        <w:rPr>
          <w:sz w:val="28"/>
          <w:szCs w:val="28"/>
          <w:lang w:val="en-US"/>
        </w:rPr>
        <w:t xml:space="preserve">, </w:t>
      </w:r>
      <w:r>
        <w:rPr>
          <w:sz w:val="28"/>
          <w:szCs w:val="28"/>
        </w:rPr>
        <w:t>на</w:t>
      </w:r>
      <w:r>
        <w:rPr>
          <w:sz w:val="28"/>
          <w:szCs w:val="28"/>
          <w:lang w:val="en-US"/>
        </w:rPr>
        <w:t xml:space="preserve"> </w:t>
      </w:r>
      <w:r>
        <w:rPr>
          <w:sz w:val="28"/>
          <w:szCs w:val="28"/>
        </w:rPr>
        <w:t>які</w:t>
      </w:r>
      <w:r>
        <w:rPr>
          <w:sz w:val="28"/>
          <w:szCs w:val="28"/>
          <w:lang w:val="en-US"/>
        </w:rPr>
        <w:t xml:space="preserve">, </w:t>
      </w:r>
      <w:r>
        <w:rPr>
          <w:sz w:val="28"/>
          <w:szCs w:val="28"/>
        </w:rPr>
        <w:t>за</w:t>
      </w:r>
      <w:r>
        <w:rPr>
          <w:sz w:val="28"/>
          <w:szCs w:val="28"/>
          <w:lang w:val="en-US"/>
        </w:rPr>
        <w:t xml:space="preserve"> </w:t>
      </w:r>
      <w:r>
        <w:rPr>
          <w:sz w:val="28"/>
          <w:szCs w:val="28"/>
        </w:rPr>
        <w:t>отсаннє</w:t>
      </w:r>
      <w:r>
        <w:rPr>
          <w:sz w:val="28"/>
          <w:szCs w:val="28"/>
          <w:lang w:val="en-US"/>
        </w:rPr>
        <w:t xml:space="preserve"> </w:t>
      </w:r>
      <w:r>
        <w:rPr>
          <w:sz w:val="28"/>
          <w:szCs w:val="28"/>
        </w:rPr>
        <w:t>десятиліття</w:t>
      </w:r>
      <w:r>
        <w:rPr>
          <w:sz w:val="28"/>
          <w:szCs w:val="28"/>
          <w:lang w:val="en-US"/>
        </w:rPr>
        <w:t xml:space="preserve"> </w:t>
      </w:r>
      <w:r>
        <w:rPr>
          <w:sz w:val="28"/>
          <w:szCs w:val="28"/>
        </w:rPr>
        <w:t>ТНК</w:t>
      </w:r>
      <w:r>
        <w:rPr>
          <w:sz w:val="28"/>
          <w:szCs w:val="28"/>
          <w:lang w:val="en-US"/>
        </w:rPr>
        <w:t xml:space="preserve"> </w:t>
      </w:r>
      <w:r>
        <w:rPr>
          <w:sz w:val="28"/>
          <w:szCs w:val="28"/>
        </w:rPr>
        <w:t>витрачають</w:t>
      </w:r>
      <w:r>
        <w:rPr>
          <w:sz w:val="28"/>
          <w:szCs w:val="28"/>
          <w:lang w:val="en-US"/>
        </w:rPr>
        <w:t xml:space="preserve"> 50% </w:t>
      </w:r>
      <w:r>
        <w:rPr>
          <w:sz w:val="28"/>
          <w:szCs w:val="28"/>
        </w:rPr>
        <w:t>від</w:t>
      </w:r>
      <w:r>
        <w:rPr>
          <w:sz w:val="28"/>
          <w:szCs w:val="28"/>
          <w:lang w:val="en-US"/>
        </w:rPr>
        <w:t xml:space="preserve"> </w:t>
      </w:r>
      <w:r>
        <w:rPr>
          <w:sz w:val="28"/>
          <w:szCs w:val="28"/>
        </w:rPr>
        <w:t>загального</w:t>
      </w:r>
      <w:r>
        <w:rPr>
          <w:sz w:val="28"/>
          <w:szCs w:val="28"/>
          <w:lang w:val="en-US"/>
        </w:rPr>
        <w:t xml:space="preserve"> </w:t>
      </w:r>
      <w:r>
        <w:rPr>
          <w:sz w:val="28"/>
          <w:szCs w:val="28"/>
        </w:rPr>
        <w:t>обсягу</w:t>
      </w:r>
      <w:r>
        <w:rPr>
          <w:sz w:val="28"/>
          <w:szCs w:val="28"/>
          <w:lang w:val="en-US"/>
        </w:rPr>
        <w:t xml:space="preserve"> </w:t>
      </w:r>
      <w:r>
        <w:rPr>
          <w:sz w:val="28"/>
          <w:szCs w:val="28"/>
        </w:rPr>
        <w:t>інвестування</w:t>
      </w:r>
      <w:r>
        <w:rPr>
          <w:sz w:val="28"/>
          <w:szCs w:val="28"/>
          <w:lang w:val="en-US"/>
        </w:rPr>
        <w:t xml:space="preserve"> </w:t>
      </w:r>
      <w:r>
        <w:rPr>
          <w:sz w:val="28"/>
          <w:szCs w:val="28"/>
        </w:rPr>
        <w:t>інноваційної</w:t>
      </w:r>
      <w:r>
        <w:rPr>
          <w:sz w:val="28"/>
          <w:szCs w:val="28"/>
          <w:lang w:val="en-US"/>
        </w:rPr>
        <w:t xml:space="preserve"> </w:t>
      </w:r>
      <w:r>
        <w:rPr>
          <w:sz w:val="28"/>
          <w:szCs w:val="28"/>
        </w:rPr>
        <w:t>діяльност</w:t>
      </w:r>
      <w:r>
        <w:rPr>
          <w:sz w:val="28"/>
          <w:szCs w:val="28"/>
          <w:lang w:val="en-US"/>
        </w:rPr>
        <w:t xml:space="preserve"> [4, 5, 6].</w:t>
      </w:r>
    </w:p>
    <w:p>
      <w:pPr>
        <w:spacing w:line="360" w:lineRule="auto"/>
        <w:ind w:firstLine="709"/>
        <w:jc w:val="both"/>
        <w:rPr>
          <w:sz w:val="28"/>
          <w:szCs w:val="28"/>
          <w:lang w:val="uk-UA"/>
        </w:rPr>
      </w:pPr>
      <w:r>
        <w:rPr>
          <w:sz w:val="28"/>
          <w:szCs w:val="28"/>
        </w:rPr>
        <w:t>Вже</w:t>
      </w:r>
      <w:r>
        <w:rPr>
          <w:sz w:val="28"/>
          <w:szCs w:val="28"/>
          <w:lang w:val="en-US"/>
        </w:rPr>
        <w:t xml:space="preserve"> </w:t>
      </w:r>
      <w:r>
        <w:rPr>
          <w:sz w:val="28"/>
          <w:szCs w:val="28"/>
        </w:rPr>
        <w:t>другий</w:t>
      </w:r>
      <w:r>
        <w:rPr>
          <w:sz w:val="28"/>
          <w:szCs w:val="28"/>
          <w:lang w:val="en-US"/>
        </w:rPr>
        <w:t xml:space="preserve"> </w:t>
      </w:r>
      <w:r>
        <w:rPr>
          <w:sz w:val="28"/>
          <w:szCs w:val="28"/>
        </w:rPr>
        <w:t>рік</w:t>
      </w:r>
      <w:r>
        <w:rPr>
          <w:sz w:val="28"/>
          <w:szCs w:val="28"/>
          <w:lang w:val="en-US"/>
        </w:rPr>
        <w:t xml:space="preserve"> </w:t>
      </w:r>
      <w:r>
        <w:rPr>
          <w:sz w:val="28"/>
          <w:szCs w:val="28"/>
        </w:rPr>
        <w:t>поспіль</w:t>
      </w:r>
      <w:r>
        <w:rPr>
          <w:sz w:val="28"/>
          <w:szCs w:val="28"/>
          <w:lang w:val="en-US"/>
        </w:rPr>
        <w:t xml:space="preserve">, </w:t>
      </w:r>
      <w:r>
        <w:rPr>
          <w:sz w:val="28"/>
          <w:szCs w:val="28"/>
        </w:rPr>
        <w:t>перше</w:t>
      </w:r>
      <w:r>
        <w:rPr>
          <w:sz w:val="28"/>
          <w:szCs w:val="28"/>
          <w:lang w:val="en-US"/>
        </w:rPr>
        <w:t xml:space="preserve"> </w:t>
      </w:r>
      <w:r>
        <w:rPr>
          <w:sz w:val="28"/>
          <w:szCs w:val="28"/>
        </w:rPr>
        <w:t>місце</w:t>
      </w:r>
      <w:r>
        <w:rPr>
          <w:sz w:val="28"/>
          <w:szCs w:val="28"/>
          <w:lang w:val="en-US"/>
        </w:rPr>
        <w:t xml:space="preserve"> </w:t>
      </w:r>
      <w:r>
        <w:rPr>
          <w:sz w:val="28"/>
          <w:szCs w:val="28"/>
        </w:rPr>
        <w:t>серед</w:t>
      </w:r>
      <w:r>
        <w:rPr>
          <w:sz w:val="28"/>
          <w:szCs w:val="28"/>
          <w:lang w:val="en-US"/>
        </w:rPr>
        <w:t xml:space="preserve"> </w:t>
      </w:r>
      <w:r>
        <w:rPr>
          <w:sz w:val="28"/>
          <w:szCs w:val="28"/>
        </w:rPr>
        <w:t>топ</w:t>
      </w:r>
      <w:r>
        <w:rPr>
          <w:sz w:val="28"/>
          <w:szCs w:val="28"/>
          <w:lang w:val="en-US"/>
        </w:rPr>
        <w:t xml:space="preserve"> 100 </w:t>
      </w:r>
      <w:r>
        <w:rPr>
          <w:sz w:val="28"/>
          <w:szCs w:val="28"/>
        </w:rPr>
        <w:t>світових</w:t>
      </w:r>
      <w:r>
        <w:rPr>
          <w:sz w:val="28"/>
          <w:szCs w:val="28"/>
          <w:lang w:val="en-US"/>
        </w:rPr>
        <w:t xml:space="preserve"> </w:t>
      </w:r>
      <w:r>
        <w:rPr>
          <w:sz w:val="28"/>
          <w:szCs w:val="28"/>
        </w:rPr>
        <w:t>ТНК</w:t>
      </w:r>
      <w:r>
        <w:rPr>
          <w:sz w:val="28"/>
          <w:szCs w:val="28"/>
          <w:lang w:val="en-US"/>
        </w:rPr>
        <w:t xml:space="preserve">, </w:t>
      </w:r>
      <w:r>
        <w:rPr>
          <w:sz w:val="28"/>
          <w:szCs w:val="28"/>
        </w:rPr>
        <w:t>що</w:t>
      </w:r>
      <w:r>
        <w:rPr>
          <w:sz w:val="28"/>
          <w:szCs w:val="28"/>
          <w:lang w:val="en-US"/>
        </w:rPr>
        <w:t xml:space="preserve"> </w:t>
      </w:r>
      <w:r>
        <w:rPr>
          <w:sz w:val="28"/>
          <w:szCs w:val="28"/>
        </w:rPr>
        <w:t>інвестують</w:t>
      </w:r>
      <w:r>
        <w:rPr>
          <w:sz w:val="28"/>
          <w:szCs w:val="28"/>
          <w:lang w:val="en-US"/>
        </w:rPr>
        <w:t xml:space="preserve"> </w:t>
      </w:r>
      <w:r>
        <w:rPr>
          <w:sz w:val="28"/>
          <w:szCs w:val="28"/>
        </w:rPr>
        <w:t>у</w:t>
      </w:r>
      <w:r>
        <w:rPr>
          <w:sz w:val="28"/>
          <w:szCs w:val="28"/>
          <w:lang w:val="en-US"/>
        </w:rPr>
        <w:t xml:space="preserve"> </w:t>
      </w:r>
      <w:r>
        <w:rPr>
          <w:sz w:val="28"/>
          <w:szCs w:val="28"/>
        </w:rPr>
        <w:t>НДДКР</w:t>
      </w:r>
      <w:r>
        <w:rPr>
          <w:sz w:val="28"/>
          <w:szCs w:val="28"/>
          <w:lang w:val="en-US"/>
        </w:rPr>
        <w:t xml:space="preserve"> </w:t>
      </w:r>
      <w:r>
        <w:rPr>
          <w:sz w:val="28"/>
          <w:szCs w:val="28"/>
        </w:rPr>
        <w:t>займає</w:t>
      </w:r>
      <w:r>
        <w:rPr>
          <w:sz w:val="28"/>
          <w:szCs w:val="28"/>
          <w:lang w:val="en-US"/>
        </w:rPr>
        <w:t xml:space="preserve"> </w:t>
      </w:r>
      <w:r>
        <w:rPr>
          <w:sz w:val="28"/>
          <w:szCs w:val="28"/>
        </w:rPr>
        <w:t>німецька</w:t>
      </w:r>
      <w:r>
        <w:rPr>
          <w:sz w:val="28"/>
          <w:szCs w:val="28"/>
          <w:lang w:val="en-US"/>
        </w:rPr>
        <w:t xml:space="preserve"> </w:t>
      </w:r>
      <w:r>
        <w:rPr>
          <w:sz w:val="28"/>
          <w:szCs w:val="28"/>
        </w:rPr>
        <w:t>корпорація</w:t>
      </w:r>
      <w:r>
        <w:rPr>
          <w:sz w:val="28"/>
          <w:szCs w:val="28"/>
          <w:lang w:val="en-US"/>
        </w:rPr>
        <w:t xml:space="preserve"> Volkswagen</w:t>
      </w:r>
      <w:r>
        <w:rPr>
          <w:sz w:val="28"/>
          <w:szCs w:val="28"/>
          <w:lang w:val="uk-UA"/>
        </w:rPr>
        <w:t>, з обсягом витрат на НДДКР в 13,3 млрд. євро. Друге місце займає ТНК з Південної Кореї Samsung Electronics – 12,2 млрд. євро, третє та четверте місце займають ТНК із США Microsoft – 9,9 млрд. євро і Intel – 9,5 млрд. євро. Інші компанії з першої десятки світових лідерів з інвестицій в інновації знаходяться в Швейцарії – Novartis (8,2 млрд. євро) і Roche (7,4 млрд. євро); з Японії – Toyota Motor (6,9 млрд. євро); з США – Google (8,1 млрд. євро), Johnson &amp; Johnson (7,0 млрд. євро) і Pfizer (6,8 млрд. євро) [4].</w:t>
      </w:r>
    </w:p>
    <w:p>
      <w:pPr>
        <w:spacing w:line="360" w:lineRule="auto"/>
        <w:ind w:firstLine="709"/>
        <w:jc w:val="both"/>
        <w:rPr>
          <w:sz w:val="28"/>
          <w:szCs w:val="28"/>
        </w:rPr>
      </w:pPr>
      <w:r>
        <w:rPr>
          <w:sz w:val="28"/>
          <w:szCs w:val="28"/>
        </w:rPr>
        <w:t>Враховуючи вищенаведене, можна зробити висновок про те, що найбільша інтенсивність інвестування в інноваційну діяльність спостерігається у ТНК США. Вона значно більша, ніж у всіх інших країнах. Така ситуація є результатом того, що концентрація всіх витрат ТНК США на НДДКР припадає саме на галузі високих технологій. Більшість відмінностей в інтенсивності інвестування в НДДКР між країнами пов'язані з відмінностями в галузевій структурі за якою здійснюється розподіл інвестицій. Європейські ТНК залишають за собою позиції лідерів в автомобільній галузі та у фармацевтиці. Японські ТНК також лідирують у автомобільній галузі.</w:t>
      </w:r>
    </w:p>
    <w:p>
      <w:pPr>
        <w:spacing w:line="360" w:lineRule="auto"/>
        <w:ind w:firstLine="709"/>
        <w:jc w:val="both"/>
        <w:rPr>
          <w:sz w:val="28"/>
          <w:szCs w:val="28"/>
        </w:rPr>
      </w:pPr>
      <w:r>
        <w:rPr>
          <w:sz w:val="28"/>
          <w:szCs w:val="28"/>
        </w:rPr>
        <w:t>Європейські транснаціональні корпорації займають перше місце другий рік поспіль з інвестування в інноваційну діяльність серед 100 найбільших транснаціональних корпорацій світу, що доводить їх значну конкурентоспроможність серед інших країн. ТНК ЄС з кожним роком набирають обертів та збільшують інвестіції в інновації, показуючи тим самим позитивну динаміку.</w:t>
      </w:r>
    </w:p>
    <w:p>
      <w:pPr>
        <w:spacing w:line="360" w:lineRule="auto"/>
        <w:ind w:firstLine="709"/>
        <w:jc w:val="both"/>
        <w:rPr>
          <w:sz w:val="28"/>
          <w:szCs w:val="28"/>
          <w:lang w:val="uk-UA"/>
        </w:rPr>
      </w:pPr>
    </w:p>
    <w:p>
      <w:pPr>
        <w:spacing w:line="360" w:lineRule="auto"/>
        <w:jc w:val="center"/>
        <w:rPr>
          <w:rStyle w:val="9"/>
          <w:rFonts w:eastAsia="Arial Unicode MS"/>
          <w:b/>
        </w:rPr>
      </w:pPr>
      <w:r>
        <w:rPr>
          <w:rStyle w:val="9"/>
          <w:rFonts w:eastAsia="Arial Unicode MS"/>
          <w:b/>
          <w:sz w:val="28"/>
          <w:szCs w:val="28"/>
        </w:rPr>
        <w:t>Список використаних джерел</w:t>
      </w:r>
    </w:p>
    <w:p>
      <w:pPr>
        <w:spacing w:line="360" w:lineRule="auto"/>
        <w:jc w:val="center"/>
        <w:rPr>
          <w:rStyle w:val="9"/>
          <w:rFonts w:eastAsia="Arial Unicode MS"/>
          <w:b/>
          <w:sz w:val="28"/>
          <w:szCs w:val="28"/>
        </w:rPr>
      </w:pPr>
    </w:p>
    <w:p>
      <w:pPr>
        <w:pStyle w:val="10"/>
        <w:numPr>
          <w:ilvl w:val="0"/>
          <w:numId w:val="1"/>
        </w:numPr>
        <w:spacing w:line="360" w:lineRule="auto"/>
        <w:ind w:left="0" w:firstLine="709"/>
        <w:jc w:val="both"/>
        <w:rPr>
          <w:rFonts w:eastAsia="Arial Unicode MS"/>
        </w:rPr>
      </w:pPr>
      <w:r>
        <w:rPr>
          <w:sz w:val="28"/>
          <w:szCs w:val="28"/>
        </w:rPr>
        <w:t>Гохберг Л. М. Новая инновационная система для “новой экономики” / Л. М. Гохберг. – М. : ГУ ВШЭ, 2000. – 254 с.</w:t>
      </w:r>
    </w:p>
    <w:p>
      <w:pPr>
        <w:pStyle w:val="10"/>
        <w:numPr>
          <w:ilvl w:val="0"/>
          <w:numId w:val="1"/>
        </w:numPr>
        <w:spacing w:line="360" w:lineRule="auto"/>
        <w:ind w:left="0" w:firstLine="709"/>
        <w:jc w:val="both"/>
        <w:rPr>
          <w:sz w:val="28"/>
          <w:szCs w:val="28"/>
          <w:lang w:val="en-US"/>
        </w:rPr>
      </w:pPr>
      <w:r>
        <w:rPr>
          <w:sz w:val="28"/>
          <w:szCs w:val="28"/>
          <w:lang w:val="en-GB"/>
        </w:rPr>
        <w:t xml:space="preserve">Occasional </w:t>
      </w:r>
      <w:r>
        <w:rPr>
          <w:sz w:val="28"/>
          <w:szCs w:val="28"/>
          <w:lang w:val="en-US"/>
        </w:rPr>
        <w:t>N</w:t>
      </w:r>
      <w:r>
        <w:rPr>
          <w:sz w:val="28"/>
          <w:szCs w:val="28"/>
          <w:lang w:val="en-GB"/>
        </w:rPr>
        <w:t>ote</w:t>
      </w:r>
      <w:r>
        <w:rPr>
          <w:sz w:val="28"/>
          <w:szCs w:val="28"/>
          <w:lang w:val="en-US"/>
        </w:rPr>
        <w:t xml:space="preserve">. UNCTAD Survey on the Internationalization of R&amp;D // United Nations Conference on Trade and Development, 12 December, 2005   </w:t>
      </w:r>
      <w:r>
        <w:rPr>
          <w:rStyle w:val="11"/>
          <w:sz w:val="28"/>
          <w:szCs w:val="28"/>
          <w:lang w:val="en-US"/>
        </w:rPr>
        <w:t xml:space="preserve">[Electronic resource]. – Access mode : </w:t>
      </w:r>
      <w:r>
        <w:rPr>
          <w:sz w:val="28"/>
          <w:szCs w:val="28"/>
          <w:lang w:val="en-US"/>
        </w:rPr>
        <w:t>htt</w:t>
      </w:r>
      <w:r>
        <w:rPr>
          <w:sz w:val="28"/>
          <w:szCs w:val="28"/>
        </w:rPr>
        <w:t>р</w:t>
      </w:r>
      <w:r>
        <w:rPr>
          <w:sz w:val="28"/>
          <w:szCs w:val="28"/>
          <w:lang w:val="en-US"/>
        </w:rPr>
        <w:t xml:space="preserve">://www.unctad.org </w:t>
      </w:r>
    </w:p>
    <w:p>
      <w:pPr>
        <w:pStyle w:val="10"/>
        <w:numPr>
          <w:ilvl w:val="0"/>
          <w:numId w:val="1"/>
        </w:numPr>
        <w:spacing w:line="360" w:lineRule="auto"/>
        <w:ind w:left="0" w:firstLine="709"/>
        <w:jc w:val="both"/>
        <w:rPr>
          <w:sz w:val="28"/>
          <w:szCs w:val="28"/>
          <w:lang w:val="en-US"/>
        </w:rPr>
      </w:pPr>
      <w:r>
        <w:rPr>
          <w:sz w:val="28"/>
          <w:szCs w:val="28"/>
          <w:lang w:val="en-US"/>
        </w:rPr>
        <w:t xml:space="preserve">Зімкіна В.Є. Інноваційна конкуренція: сутність, особливості, характерні риси / В.Є. Зімкіна // Європейський вектор економічного розвитку. – 2012. – No2(13). – С. 124-131. </w:t>
      </w:r>
    </w:p>
    <w:p>
      <w:pPr>
        <w:pStyle w:val="10"/>
        <w:numPr>
          <w:ilvl w:val="0"/>
          <w:numId w:val="1"/>
        </w:numPr>
        <w:spacing w:line="360" w:lineRule="auto"/>
        <w:ind w:left="0" w:firstLine="709"/>
        <w:jc w:val="both"/>
        <w:rPr>
          <w:sz w:val="28"/>
          <w:szCs w:val="28"/>
        </w:rPr>
      </w:pPr>
      <w:r>
        <w:rPr>
          <w:sz w:val="28"/>
          <w:szCs w:val="28"/>
          <w:lang w:val="en-US"/>
        </w:rPr>
        <w:t>The 2015 EU Industrial R&amp;D Investment Scoreboard. [</w:t>
      </w:r>
      <w:r>
        <w:rPr>
          <w:sz w:val="28"/>
          <w:szCs w:val="28"/>
          <w:lang w:val="uk-UA"/>
        </w:rPr>
        <w:t xml:space="preserve">Електронний ресурс] : </w:t>
      </w:r>
      <w:r>
        <w:rPr>
          <w:sz w:val="28"/>
          <w:szCs w:val="28"/>
          <w:lang w:val="en-US"/>
        </w:rPr>
        <w:t>Publications Office of the European Union. Luxembourg</w:t>
      </w:r>
      <w:r>
        <w:rPr>
          <w:sz w:val="28"/>
          <w:szCs w:val="28"/>
        </w:rPr>
        <w:t>, 2015. – 114</w:t>
      </w:r>
      <w:r>
        <w:rPr>
          <w:sz w:val="28"/>
          <w:szCs w:val="28"/>
          <w:lang w:val="uk-UA"/>
        </w:rPr>
        <w:t xml:space="preserve"> р.</w:t>
      </w:r>
      <w:r>
        <w:rPr>
          <w:sz w:val="28"/>
          <w:szCs w:val="28"/>
        </w:rPr>
        <w:t xml:space="preserve"> </w:t>
      </w:r>
      <w:r>
        <w:rPr>
          <w:sz w:val="28"/>
          <w:szCs w:val="28"/>
          <w:lang w:val="uk-UA"/>
        </w:rPr>
        <w:t>– Режим доступу :</w:t>
      </w:r>
      <w:r>
        <w:rPr>
          <w:sz w:val="28"/>
          <w:szCs w:val="28"/>
        </w:rPr>
        <w:t xml:space="preserve"> </w:t>
      </w:r>
      <w:r>
        <w:rPr>
          <w:sz w:val="28"/>
          <w:szCs w:val="28"/>
          <w:lang w:val="en-US"/>
        </w:rPr>
        <w:t>http</w:t>
      </w:r>
      <w:r>
        <w:rPr>
          <w:sz w:val="28"/>
          <w:szCs w:val="28"/>
        </w:rPr>
        <w:t>://</w:t>
      </w:r>
      <w:r>
        <w:rPr>
          <w:sz w:val="28"/>
          <w:szCs w:val="28"/>
          <w:lang w:val="en-US"/>
        </w:rPr>
        <w:t>iri</w:t>
      </w:r>
      <w:r>
        <w:rPr>
          <w:sz w:val="28"/>
          <w:szCs w:val="28"/>
        </w:rPr>
        <w:t>.</w:t>
      </w:r>
      <w:r>
        <w:rPr>
          <w:sz w:val="28"/>
          <w:szCs w:val="28"/>
          <w:lang w:val="en-US"/>
        </w:rPr>
        <w:t>jrc</w:t>
      </w:r>
      <w:r>
        <w:rPr>
          <w:sz w:val="28"/>
          <w:szCs w:val="28"/>
        </w:rPr>
        <w:t>.</w:t>
      </w:r>
      <w:r>
        <w:rPr>
          <w:sz w:val="28"/>
          <w:szCs w:val="28"/>
          <w:lang w:val="en-US"/>
        </w:rPr>
        <w:t>ec</w:t>
      </w:r>
      <w:r>
        <w:rPr>
          <w:sz w:val="28"/>
          <w:szCs w:val="28"/>
        </w:rPr>
        <w:t>.</w:t>
      </w:r>
      <w:r>
        <w:rPr>
          <w:sz w:val="28"/>
          <w:szCs w:val="28"/>
          <w:lang w:val="en-US"/>
        </w:rPr>
        <w:t>europa</w:t>
      </w:r>
      <w:r>
        <w:rPr>
          <w:sz w:val="28"/>
          <w:szCs w:val="28"/>
        </w:rPr>
        <w:t>.</w:t>
      </w:r>
      <w:r>
        <w:rPr>
          <w:sz w:val="28"/>
          <w:szCs w:val="28"/>
          <w:lang w:val="en-US"/>
        </w:rPr>
        <w:t>eu</w:t>
      </w:r>
      <w:r>
        <w:rPr>
          <w:sz w:val="28"/>
          <w:szCs w:val="28"/>
        </w:rPr>
        <w:t>/</w:t>
      </w:r>
      <w:r>
        <w:rPr>
          <w:sz w:val="28"/>
          <w:szCs w:val="28"/>
          <w:lang w:val="en-US"/>
        </w:rPr>
        <w:t>scoreboard</w:t>
      </w:r>
      <w:r>
        <w:rPr>
          <w:sz w:val="28"/>
          <w:szCs w:val="28"/>
        </w:rPr>
        <w:t>15.</w:t>
      </w:r>
      <w:r>
        <w:rPr>
          <w:sz w:val="28"/>
          <w:szCs w:val="28"/>
          <w:lang w:val="en-US"/>
        </w:rPr>
        <w:t>html</w:t>
      </w:r>
    </w:p>
    <w:p>
      <w:pPr>
        <w:pStyle w:val="3"/>
        <w:numPr>
          <w:ilvl w:val="0"/>
          <w:numId w:val="1"/>
        </w:numPr>
        <w:spacing w:line="360" w:lineRule="auto"/>
        <w:ind w:left="0" w:firstLine="709"/>
        <w:jc w:val="both"/>
        <w:rPr>
          <w:color w:val="auto"/>
          <w:sz w:val="28"/>
          <w:szCs w:val="28"/>
          <w:lang w:val="en-US"/>
        </w:rPr>
      </w:pPr>
      <w:r>
        <w:rPr>
          <w:color w:val="auto"/>
          <w:sz w:val="28"/>
          <w:szCs w:val="28"/>
          <w:lang w:val="en-US"/>
        </w:rPr>
        <w:t>The 2014 Global Innovation 1000 &amp; Proven paths to innovation success [</w:t>
      </w:r>
      <w:r>
        <w:rPr>
          <w:color w:val="auto"/>
          <w:sz w:val="28"/>
          <w:szCs w:val="28"/>
          <w:lang w:val="uk-UA"/>
        </w:rPr>
        <w:t>Електронний ресурс] :</w:t>
      </w:r>
      <w:r>
        <w:rPr>
          <w:color w:val="auto"/>
          <w:sz w:val="28"/>
          <w:szCs w:val="28"/>
          <w:lang w:val="en-US"/>
        </w:rPr>
        <w:t xml:space="preserve"> PWC </w:t>
      </w:r>
      <w:r>
        <w:rPr>
          <w:color w:val="auto"/>
          <w:sz w:val="28"/>
          <w:szCs w:val="28"/>
          <w:lang w:val="uk-UA"/>
        </w:rPr>
        <w:t>– Режим доступу :</w:t>
      </w:r>
      <w:r>
        <w:rPr>
          <w:color w:val="auto"/>
          <w:sz w:val="28"/>
          <w:szCs w:val="28"/>
          <w:lang w:val="en-US"/>
        </w:rPr>
        <w:t xml:space="preserve"> http://www.strategyand.pwc.com/media/file/The-2014-Global-Innovation-1000_media-report.pdf</w:t>
      </w:r>
    </w:p>
    <w:p>
      <w:pPr>
        <w:pStyle w:val="10"/>
        <w:numPr>
          <w:ilvl w:val="0"/>
          <w:numId w:val="1"/>
        </w:numPr>
        <w:spacing w:line="360" w:lineRule="auto"/>
        <w:ind w:left="0" w:firstLine="709"/>
        <w:jc w:val="both"/>
        <w:rPr>
          <w:sz w:val="28"/>
          <w:szCs w:val="28"/>
          <w:lang w:val="uk-UA"/>
        </w:rPr>
      </w:pPr>
      <w:r>
        <w:rPr>
          <w:sz w:val="28"/>
          <w:szCs w:val="28"/>
          <w:lang w:val="en-US"/>
        </w:rPr>
        <w:t>S&amp;P Capital IQ data [</w:t>
      </w:r>
      <w:r>
        <w:rPr>
          <w:sz w:val="28"/>
          <w:szCs w:val="28"/>
          <w:lang w:val="uk-UA"/>
        </w:rPr>
        <w:t>Електронний ресурс] :</w:t>
      </w:r>
      <w:r>
        <w:rPr>
          <w:sz w:val="28"/>
          <w:szCs w:val="28"/>
          <w:lang w:val="en-US"/>
        </w:rPr>
        <w:t xml:space="preserve"> S&amp;P Capital IQ </w:t>
      </w:r>
      <w:r>
        <w:rPr>
          <w:sz w:val="28"/>
          <w:szCs w:val="28"/>
          <w:lang w:val="uk-UA"/>
        </w:rPr>
        <w:t>– Режим доступу:</w:t>
      </w:r>
      <w:r>
        <w:rPr>
          <w:sz w:val="28"/>
          <w:szCs w:val="28"/>
          <w:lang w:val="en-US"/>
        </w:rPr>
        <w:t xml:space="preserve"> http://www.spcapitaliq.com/client-solutions/data</w:t>
      </w:r>
    </w:p>
    <w:p>
      <w:pPr>
        <w:rPr>
          <w:sz w:val="28"/>
          <w:szCs w:val="28"/>
          <w:lang w:val="uk-UA"/>
        </w:rPr>
      </w:pPr>
    </w:p>
    <w:p>
      <w:pPr>
        <w:rPr>
          <w:color w:val="FF0000"/>
          <w:lang w:val="uk-UA"/>
        </w:rPr>
      </w:pPr>
      <w:bookmarkStart w:id="0" w:name="_GoBack"/>
      <w:bookmarkEnd w:id="0"/>
      <w:r>
        <w:rPr>
          <w:lang w:val="uk-UA"/>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E10002FF" w:usb1="4000ACFF" w:usb2="00000009" w:usb3="00000000" w:csb0="2000019F" w:csb1="0000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CC"/>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Arial">
    <w:panose1 w:val="020B0604020202020204"/>
    <w:charset w:val="CC"/>
    <w:family w:val="swiss"/>
    <w:pitch w:val="default"/>
    <w:sig w:usb0="E0002AFF" w:usb1="C0007843" w:usb2="00000009" w:usb3="00000000" w:csb0="400001FF" w:csb1="FFFF0000"/>
  </w:font>
  <w:font w:name="Verdana">
    <w:panose1 w:val="020B0604030504040204"/>
    <w:charset w:val="CC"/>
    <w:family w:val="swiss"/>
    <w:pitch w:val="default"/>
    <w:sig w:usb0="A10006FF" w:usb1="4000205B" w:usb2="00000010" w:usb3="00000000" w:csb0="2000019F" w:csb1="00000000"/>
  </w:font>
  <w:font w:name="Calibri Light">
    <w:panose1 w:val="020F0302020204030204"/>
    <w:charset w:val="CC"/>
    <w:family w:val="swiss"/>
    <w:pitch w:val="default"/>
    <w:sig w:usb0="A00002EF"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jc w:val="both"/>
        <w:rPr>
          <w:lang w:val="en-US"/>
        </w:rPr>
      </w:pPr>
      <w:r>
        <w:rPr>
          <w:rStyle w:val="5"/>
        </w:rPr>
        <w:footnoteRef/>
      </w:r>
      <w:r>
        <w:t xml:space="preserve">  </w:t>
      </w:r>
      <w:r>
        <w:rPr>
          <w:sz w:val="24"/>
          <w:szCs w:val="24"/>
          <w:lang w:val="uk-UA"/>
        </w:rPr>
        <w:t>доктор економічних наук, професор, завідувач</w:t>
      </w:r>
      <w:r>
        <w:rPr>
          <w:color w:val="262626"/>
          <w:sz w:val="24"/>
          <w:szCs w:val="24"/>
          <w:lang w:val="en-US"/>
        </w:rPr>
        <w:t xml:space="preserve"> кафедри міжнародних економічних відносин і бізнесу Інституту міжнародних відносин Національного авіаційного університету.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83492"/>
    <w:multiLevelType w:val="multilevel"/>
    <w:tmpl w:val="6E783492"/>
    <w:lvl w:ilvl="0" w:tentative="0">
      <w:start w:val="1"/>
      <w:numFmt w:val="decimal"/>
      <w:lvlText w:val="%1."/>
      <w:lvlJc w:val="left"/>
      <w:pPr>
        <w:ind w:left="1709" w:hanging="1000"/>
      </w:p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72D26"/>
    <w:rsid w:val="13F5518C"/>
    <w:rsid w:val="37072D26"/>
    <w:rsid w:val="4AAC3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uk-UA"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endnote text"/>
    <w:uiPriority w:val="0"/>
    <w:pPr>
      <w:spacing w:after="200" w:line="276" w:lineRule="auto"/>
    </w:pPr>
    <w:rPr>
      <w:rFonts w:ascii="Arial Unicode MS" w:hAnsi="Calibri" w:eastAsia="Arial Unicode MS" w:cs="Arial Unicode MS"/>
      <w:color w:val="000000"/>
      <w:sz w:val="20"/>
      <w:szCs w:val="20"/>
      <w:u w:color="000000"/>
      <w:lang w:val="ru-RU" w:eastAsia="ru-RU" w:bidi="ar-SA"/>
    </w:rPr>
  </w:style>
  <w:style w:type="paragraph" w:styleId="3">
    <w:name w:val="footnote text"/>
    <w:uiPriority w:val="0"/>
    <w:pPr>
      <w:spacing w:after="0" w:line="240" w:lineRule="auto"/>
    </w:pPr>
    <w:rPr>
      <w:rFonts w:ascii="Times New Roman" w:hAnsi="Times New Roman" w:eastAsia="Times New Roman" w:cs="Times New Roman"/>
      <w:color w:val="000000"/>
      <w:sz w:val="20"/>
      <w:szCs w:val="20"/>
      <w:u w:color="000000"/>
      <w:lang w:val="ru-RU" w:eastAsia="ru-RU" w:bidi="ar-SA"/>
    </w:rPr>
  </w:style>
  <w:style w:type="character" w:styleId="5">
    <w:name w:val="footnote reference"/>
    <w:uiPriority w:val="0"/>
    <w:rPr>
      <w:rFonts w:hint="default" w:ascii="Times New Roman" w:hAnsi="Times New Roman" w:cs="Times New Roman"/>
      <w:vertAlign w:val="superscript"/>
    </w:rPr>
  </w:style>
  <w:style w:type="paragraph" w:customStyle="1" w:styleId="7">
    <w:name w:val="Обычный1"/>
    <w:qFormat/>
    <w:uiPriority w:val="0"/>
    <w:pPr>
      <w:snapToGrid w:val="0"/>
      <w:spacing w:before="100" w:after="100" w:line="240" w:lineRule="auto"/>
    </w:pPr>
    <w:rPr>
      <w:rFonts w:ascii="Times New Roman" w:hAnsi="Times New Roman" w:eastAsia="Times New Roman" w:cs="Times New Roman"/>
      <w:sz w:val="24"/>
      <w:szCs w:val="20"/>
      <w:lang w:val="ru-RU" w:eastAsia="ru-RU" w:bidi="ar-SA"/>
    </w:rPr>
  </w:style>
  <w:style w:type="paragraph" w:customStyle="1" w:styleId="8">
    <w:name w:val="o"/>
    <w:basedOn w:val="1"/>
    <w:qFormat/>
    <w:uiPriority w:val="0"/>
    <w:pPr>
      <w:spacing w:before="20" w:after="20"/>
      <w:ind w:left="20" w:right="20"/>
      <w:jc w:val="both"/>
    </w:pPr>
    <w:rPr>
      <w:color w:val="000000"/>
      <w:sz w:val="28"/>
      <w:szCs w:val="28"/>
      <w:lang w:eastAsia="ru-RU"/>
    </w:rPr>
  </w:style>
  <w:style w:type="character" w:customStyle="1" w:styleId="9">
    <w:name w:val="gt-icon-text"/>
    <w:basedOn w:val="4"/>
    <w:qFormat/>
    <w:uiPriority w:val="0"/>
  </w:style>
  <w:style w:type="paragraph" w:customStyle="1" w:styleId="10">
    <w:name w:val="List Paragraph"/>
    <w:basedOn w:val="1"/>
    <w:qFormat/>
    <w:uiPriority w:val="34"/>
    <w:pPr>
      <w:widowControl w:val="0"/>
      <w:autoSpaceDE w:val="0"/>
      <w:autoSpaceDN w:val="0"/>
      <w:adjustRightInd w:val="0"/>
      <w:ind w:left="720"/>
      <w:contextualSpacing/>
    </w:pPr>
    <w:rPr>
      <w:lang w:eastAsia="ru-RU"/>
    </w:rPr>
  </w:style>
  <w:style w:type="character" w:customStyle="1" w:styleId="11">
    <w:name w:val="hps"/>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2017-10-31T20:49:00Z</dcterms:created>
  <dc:creator>User</dc:creator>
  <cp:lastModifiedBy>User</cp:lastModifiedBy>
  <dcterms:modified xsi:type="dcterms:W3CDTF">2017-11-16T06:42:14Z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