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153" w:rsidRPr="00725E7D" w:rsidRDefault="00362153" w:rsidP="00362153">
      <w:pPr>
        <w:autoSpaceDE w:val="0"/>
        <w:autoSpaceDN w:val="0"/>
        <w:adjustRightInd w:val="0"/>
        <w:spacing w:line="276" w:lineRule="auto"/>
        <w:rPr>
          <w:rFonts w:ascii="Times New Roman CYR" w:hAnsi="Times New Roman CYR" w:cs="Times New Roman CYR"/>
          <w:sz w:val="28"/>
          <w:szCs w:val="28"/>
          <w:lang w:val="uk-UA"/>
        </w:rPr>
      </w:pPr>
      <w:r w:rsidRPr="00725E7D">
        <w:rPr>
          <w:rFonts w:ascii="Times New Roman CYR" w:hAnsi="Times New Roman CYR" w:cs="Times New Roman CYR"/>
          <w:sz w:val="28"/>
          <w:szCs w:val="28"/>
          <w:lang w:val="uk-UA"/>
        </w:rPr>
        <w:t xml:space="preserve">УДК 658.713(043.2)                                                                                                         </w:t>
      </w:r>
    </w:p>
    <w:p w:rsidR="00362153" w:rsidRPr="00725E7D" w:rsidRDefault="00362153" w:rsidP="00362153">
      <w:pPr>
        <w:autoSpaceDE w:val="0"/>
        <w:autoSpaceDN w:val="0"/>
        <w:adjustRightInd w:val="0"/>
        <w:spacing w:after="0" w:line="240" w:lineRule="auto"/>
        <w:jc w:val="right"/>
        <w:rPr>
          <w:rFonts w:ascii="Times New Roman" w:hAnsi="Times New Roman" w:cs="Times New Roman"/>
          <w:sz w:val="28"/>
          <w:szCs w:val="28"/>
          <w:lang w:val="uk-UA"/>
        </w:rPr>
      </w:pPr>
      <w:proofErr w:type="spellStart"/>
      <w:r w:rsidRPr="00725E7D">
        <w:rPr>
          <w:rFonts w:ascii="Times New Roman" w:hAnsi="Times New Roman" w:cs="Times New Roman"/>
          <w:b/>
          <w:sz w:val="28"/>
          <w:szCs w:val="28"/>
          <w:lang w:val="uk-UA"/>
        </w:rPr>
        <w:t>Марківська</w:t>
      </w:r>
      <w:proofErr w:type="spellEnd"/>
      <w:r w:rsidRPr="00725E7D">
        <w:rPr>
          <w:rFonts w:ascii="Times New Roman" w:hAnsi="Times New Roman" w:cs="Times New Roman"/>
          <w:b/>
          <w:sz w:val="28"/>
          <w:szCs w:val="28"/>
          <w:lang w:val="uk-UA"/>
        </w:rPr>
        <w:t xml:space="preserve"> Г.І.,</w:t>
      </w:r>
      <w:r w:rsidRPr="00725E7D">
        <w:rPr>
          <w:rFonts w:ascii="Times New Roman" w:hAnsi="Times New Roman" w:cs="Times New Roman"/>
          <w:sz w:val="28"/>
          <w:szCs w:val="28"/>
          <w:lang w:val="uk-UA"/>
        </w:rPr>
        <w:t xml:space="preserve"> студентка,</w:t>
      </w:r>
    </w:p>
    <w:p w:rsidR="00362153" w:rsidRPr="00725E7D" w:rsidRDefault="00362153" w:rsidP="003621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212121"/>
          <w:sz w:val="28"/>
          <w:szCs w:val="28"/>
          <w:lang w:val="uk-UA" w:eastAsia="uk-UA"/>
        </w:rPr>
      </w:pPr>
      <w:r w:rsidRPr="00725E7D">
        <w:rPr>
          <w:rFonts w:ascii="Times New Roman" w:hAnsi="Times New Roman" w:cs="Times New Roman"/>
          <w:color w:val="212121"/>
          <w:sz w:val="28"/>
          <w:szCs w:val="28"/>
          <w:lang w:val="uk-UA" w:eastAsia="uk-UA"/>
        </w:rPr>
        <w:t xml:space="preserve">Навчально-науковий Юридичний інститут, </w:t>
      </w:r>
    </w:p>
    <w:p w:rsidR="00362153" w:rsidRPr="00725E7D" w:rsidRDefault="00362153" w:rsidP="00362153">
      <w:pPr>
        <w:spacing w:after="0" w:line="240" w:lineRule="auto"/>
        <w:jc w:val="right"/>
        <w:rPr>
          <w:rFonts w:ascii="Times New Roman" w:hAnsi="Times New Roman" w:cs="Times New Roman"/>
          <w:color w:val="212121"/>
          <w:sz w:val="28"/>
          <w:szCs w:val="28"/>
          <w:lang w:val="uk-UA" w:eastAsia="uk-UA"/>
        </w:rPr>
      </w:pPr>
      <w:r w:rsidRPr="00725E7D">
        <w:rPr>
          <w:rFonts w:ascii="Times New Roman" w:hAnsi="Times New Roman" w:cs="Times New Roman"/>
          <w:color w:val="212121"/>
          <w:sz w:val="28"/>
          <w:szCs w:val="28"/>
          <w:lang w:val="uk-UA" w:eastAsia="uk-UA"/>
        </w:rPr>
        <w:t xml:space="preserve">Національний авіаційний університет, м. Київ </w:t>
      </w:r>
    </w:p>
    <w:p w:rsidR="00362153" w:rsidRPr="00725E7D" w:rsidRDefault="00362153" w:rsidP="00362153">
      <w:pPr>
        <w:spacing w:after="0" w:line="240" w:lineRule="auto"/>
        <w:jc w:val="right"/>
        <w:rPr>
          <w:rFonts w:ascii="Times New Roman" w:hAnsi="Times New Roman" w:cs="Times New Roman"/>
          <w:sz w:val="28"/>
          <w:szCs w:val="28"/>
          <w:lang w:val="uk-UA"/>
        </w:rPr>
      </w:pPr>
      <w:r w:rsidRPr="00725E7D">
        <w:rPr>
          <w:rFonts w:ascii="Times New Roman" w:hAnsi="Times New Roman" w:cs="Times New Roman"/>
          <w:sz w:val="28"/>
          <w:szCs w:val="28"/>
          <w:lang w:val="uk-UA"/>
        </w:rPr>
        <w:t>Науковий керівник: Білоусов В.М., старший викладач</w:t>
      </w:r>
    </w:p>
    <w:p w:rsidR="00362153" w:rsidRPr="00725E7D" w:rsidRDefault="00362153" w:rsidP="00362153">
      <w:pPr>
        <w:jc w:val="right"/>
        <w:rPr>
          <w:sz w:val="28"/>
          <w:szCs w:val="28"/>
          <w:lang w:val="uk-UA"/>
        </w:rPr>
      </w:pPr>
    </w:p>
    <w:p w:rsidR="00362153" w:rsidRPr="00725E7D" w:rsidRDefault="00362153" w:rsidP="00362153">
      <w:pPr>
        <w:autoSpaceDE w:val="0"/>
        <w:autoSpaceDN w:val="0"/>
        <w:adjustRightInd w:val="0"/>
        <w:spacing w:after="0" w:line="360" w:lineRule="auto"/>
        <w:ind w:firstLine="567"/>
        <w:jc w:val="center"/>
        <w:rPr>
          <w:rFonts w:ascii="Times New Roman CYR" w:hAnsi="Times New Roman CYR" w:cs="Times New Roman CYR"/>
          <w:b/>
          <w:bCs/>
          <w:sz w:val="28"/>
          <w:szCs w:val="28"/>
          <w:lang w:val="uk-UA"/>
        </w:rPr>
      </w:pPr>
      <w:r w:rsidRPr="00725E7D">
        <w:rPr>
          <w:rFonts w:ascii="Times New Roman CYR" w:hAnsi="Times New Roman CYR" w:cs="Times New Roman CYR"/>
          <w:b/>
          <w:bCs/>
          <w:sz w:val="28"/>
          <w:szCs w:val="28"/>
          <w:lang w:val="uk-UA"/>
        </w:rPr>
        <w:t>ПРАВОВЕ РЕГУЛЮВАННЯ ДОГОВОРУ ПРОКАТУ В УКРАЇНІ</w:t>
      </w:r>
    </w:p>
    <w:p w:rsidR="00362153" w:rsidRPr="00725E7D" w:rsidRDefault="00362153" w:rsidP="00362153">
      <w:pPr>
        <w:autoSpaceDE w:val="0"/>
        <w:autoSpaceDN w:val="0"/>
        <w:adjustRightInd w:val="0"/>
        <w:spacing w:after="0" w:line="360" w:lineRule="auto"/>
        <w:ind w:firstLine="567"/>
        <w:jc w:val="center"/>
        <w:rPr>
          <w:rFonts w:ascii="Times New Roman CYR" w:hAnsi="Times New Roman CYR" w:cs="Times New Roman CYR"/>
          <w:b/>
          <w:bCs/>
          <w:sz w:val="28"/>
          <w:szCs w:val="28"/>
          <w:lang w:val="uk-UA"/>
        </w:rPr>
      </w:pPr>
    </w:p>
    <w:p w:rsidR="00362153" w:rsidRPr="00725E7D" w:rsidRDefault="00362153" w:rsidP="00362153">
      <w:pPr>
        <w:autoSpaceDE w:val="0"/>
        <w:autoSpaceDN w:val="0"/>
        <w:adjustRightInd w:val="0"/>
        <w:spacing w:after="0" w:line="360" w:lineRule="auto"/>
        <w:ind w:firstLine="567"/>
        <w:jc w:val="both"/>
        <w:rPr>
          <w:rFonts w:ascii="Times New Roman CYR" w:hAnsi="Times New Roman CYR" w:cs="Times New Roman CYR"/>
          <w:sz w:val="28"/>
          <w:szCs w:val="28"/>
          <w:lang w:val="uk-UA"/>
        </w:rPr>
      </w:pPr>
      <w:r w:rsidRPr="00725E7D">
        <w:rPr>
          <w:rFonts w:ascii="Times New Roman CYR" w:hAnsi="Times New Roman CYR" w:cs="Times New Roman CYR"/>
          <w:sz w:val="28"/>
          <w:szCs w:val="28"/>
          <w:lang w:val="uk-UA"/>
        </w:rPr>
        <w:t xml:space="preserve">На даний час договірні правовідносини з прокату майна отримали широке поширення, вони дуже різноманітні і приймають іноді такі форми, що відразу і не визначиш, прокат це чи специфічна послуга. Цьому посприяв цілий ряд фактів, пов'язаних з розвитком різних сфер суспільної життєдіяльності: будівельної, туристичної, спортивної і т.д. </w:t>
      </w:r>
    </w:p>
    <w:p w:rsidR="00362153" w:rsidRPr="00725E7D" w:rsidRDefault="00362153" w:rsidP="00362153">
      <w:pPr>
        <w:autoSpaceDE w:val="0"/>
        <w:autoSpaceDN w:val="0"/>
        <w:adjustRightInd w:val="0"/>
        <w:spacing w:after="0" w:line="360" w:lineRule="auto"/>
        <w:ind w:firstLine="567"/>
        <w:jc w:val="both"/>
        <w:rPr>
          <w:rFonts w:ascii="Times New Roman CYR" w:hAnsi="Times New Roman CYR" w:cs="Times New Roman CYR"/>
          <w:sz w:val="28"/>
          <w:szCs w:val="28"/>
          <w:lang w:val="uk-UA"/>
        </w:rPr>
      </w:pPr>
      <w:r w:rsidRPr="00725E7D">
        <w:rPr>
          <w:rFonts w:ascii="Times New Roman CYR" w:hAnsi="Times New Roman CYR" w:cs="Times New Roman CYR"/>
          <w:sz w:val="28"/>
          <w:szCs w:val="28"/>
          <w:lang w:val="uk-UA"/>
        </w:rPr>
        <w:t xml:space="preserve">Ми користуємося готелями, санаторіями, беремо білизну в сауні, бані, граємо на більярді, катаємося на гірських лижах, водних мотоциклах, </w:t>
      </w:r>
      <w:proofErr w:type="spellStart"/>
      <w:r w:rsidRPr="00725E7D">
        <w:rPr>
          <w:rFonts w:ascii="Times New Roman CYR" w:hAnsi="Times New Roman CYR" w:cs="Times New Roman CYR"/>
          <w:sz w:val="28"/>
          <w:szCs w:val="28"/>
          <w:lang w:val="uk-UA"/>
        </w:rPr>
        <w:t>снігоходах</w:t>
      </w:r>
      <w:proofErr w:type="spellEnd"/>
      <w:r w:rsidRPr="00725E7D">
        <w:rPr>
          <w:rFonts w:ascii="Times New Roman CYR" w:hAnsi="Times New Roman CYR" w:cs="Times New Roman CYR"/>
          <w:sz w:val="28"/>
          <w:szCs w:val="28"/>
          <w:lang w:val="uk-UA"/>
        </w:rPr>
        <w:t xml:space="preserve"> і т.д. Латентний характер прокату визначається тим, що на практиці він досить часто носить не самостійний характер, а вкладається в основну послугу або доповнює. Надання лежаків, парасольок </w:t>
      </w:r>
      <w:r w:rsidRPr="00725E7D">
        <w:rPr>
          <w:sz w:val="28"/>
          <w:szCs w:val="28"/>
          <w:lang w:val="uk-UA"/>
        </w:rPr>
        <w:t>«</w:t>
      </w:r>
      <w:r w:rsidRPr="00725E7D">
        <w:rPr>
          <w:rFonts w:ascii="Times New Roman CYR" w:hAnsi="Times New Roman CYR" w:cs="Times New Roman CYR"/>
          <w:sz w:val="28"/>
          <w:szCs w:val="28"/>
          <w:lang w:val="uk-UA"/>
        </w:rPr>
        <w:t>прив'язується</w:t>
      </w:r>
      <w:r w:rsidRPr="00725E7D">
        <w:rPr>
          <w:sz w:val="28"/>
          <w:szCs w:val="28"/>
          <w:lang w:val="uk-UA"/>
        </w:rPr>
        <w:t xml:space="preserve">» </w:t>
      </w:r>
      <w:r w:rsidRPr="00725E7D">
        <w:rPr>
          <w:rFonts w:ascii="Times New Roman CYR" w:hAnsi="Times New Roman CYR" w:cs="Times New Roman CYR"/>
          <w:sz w:val="28"/>
          <w:szCs w:val="28"/>
          <w:lang w:val="uk-UA"/>
        </w:rPr>
        <w:t>до курортних зон, кінний прокат – до клубів, будинкам відпочинку, пансіонатам, прокат електроінструменту – при торгуючих організаціях, прокат CD-і DVD-дисків – при магазинах, що їх продають, і т.д.</w:t>
      </w:r>
    </w:p>
    <w:p w:rsidR="00362153" w:rsidRPr="00725E7D" w:rsidRDefault="00362153" w:rsidP="00362153">
      <w:pPr>
        <w:autoSpaceDE w:val="0"/>
        <w:autoSpaceDN w:val="0"/>
        <w:adjustRightInd w:val="0"/>
        <w:spacing w:after="0" w:line="360" w:lineRule="auto"/>
        <w:ind w:firstLine="567"/>
        <w:jc w:val="both"/>
        <w:rPr>
          <w:rFonts w:ascii="Times New Roman CYR" w:hAnsi="Times New Roman CYR" w:cs="Times New Roman CYR"/>
          <w:sz w:val="28"/>
          <w:szCs w:val="28"/>
          <w:lang w:val="uk-UA"/>
        </w:rPr>
      </w:pPr>
      <w:r w:rsidRPr="00725E7D">
        <w:rPr>
          <w:rFonts w:ascii="Times New Roman CYR" w:hAnsi="Times New Roman CYR" w:cs="Times New Roman CYR"/>
          <w:sz w:val="28"/>
          <w:szCs w:val="28"/>
          <w:lang w:val="uk-UA"/>
        </w:rPr>
        <w:t>Необхідно зазначити, що згідно зі статтею 787 Цивільного кодексу України визначено, що за договором прокату наймодавець, який здійснює підприємницьку діяльність з передання речей у найм, передає або зобов'язується передати рухому річ наймачеві у користування за плату на певний строк [1].</w:t>
      </w:r>
    </w:p>
    <w:p w:rsidR="00362153" w:rsidRPr="00725E7D" w:rsidRDefault="00362153" w:rsidP="00362153">
      <w:pPr>
        <w:autoSpaceDE w:val="0"/>
        <w:autoSpaceDN w:val="0"/>
        <w:adjustRightInd w:val="0"/>
        <w:spacing w:after="0" w:line="360" w:lineRule="auto"/>
        <w:ind w:firstLine="567"/>
        <w:jc w:val="both"/>
        <w:rPr>
          <w:rFonts w:ascii="Times New Roman CYR" w:hAnsi="Times New Roman CYR" w:cs="Times New Roman CYR"/>
          <w:sz w:val="28"/>
          <w:szCs w:val="28"/>
          <w:lang w:val="uk-UA"/>
        </w:rPr>
      </w:pPr>
      <w:r w:rsidRPr="00725E7D">
        <w:rPr>
          <w:rFonts w:ascii="Times New Roman CYR" w:hAnsi="Times New Roman CYR" w:cs="Times New Roman CYR"/>
          <w:sz w:val="28"/>
          <w:szCs w:val="28"/>
          <w:lang w:val="uk-UA"/>
        </w:rPr>
        <w:t>Цивільним законодавством договір прокату віднесено до договорів приєднання. Наймодавець може встановлювати типові умови договору прокату. Умови договору прокату, які погіршують становище наймача порівняно з тим, що встановлено типовими умовами договору, є нікчемними.</w:t>
      </w:r>
    </w:p>
    <w:p w:rsidR="00362153" w:rsidRPr="00725E7D" w:rsidRDefault="00362153" w:rsidP="00362153">
      <w:pPr>
        <w:autoSpaceDE w:val="0"/>
        <w:autoSpaceDN w:val="0"/>
        <w:adjustRightInd w:val="0"/>
        <w:spacing w:after="0" w:line="360" w:lineRule="auto"/>
        <w:ind w:firstLine="567"/>
        <w:jc w:val="both"/>
        <w:rPr>
          <w:rFonts w:ascii="Times New Roman CYR" w:hAnsi="Times New Roman CYR" w:cs="Times New Roman CYR"/>
          <w:sz w:val="28"/>
          <w:szCs w:val="28"/>
          <w:lang w:val="uk-UA"/>
        </w:rPr>
      </w:pPr>
      <w:r w:rsidRPr="00725E7D">
        <w:rPr>
          <w:rFonts w:ascii="Times New Roman CYR" w:hAnsi="Times New Roman CYR" w:cs="Times New Roman CYR"/>
          <w:sz w:val="28"/>
          <w:szCs w:val="28"/>
          <w:lang w:val="uk-UA"/>
        </w:rPr>
        <w:lastRenderedPageBreak/>
        <w:t>Також необхідно зазначити, що договір прокату є публічним договором. З огляду на положення ст. 633 ЦК це означає, що наймодавець зобов'язаний надавати послуги із прокату кожному, хто до нього звернеться.</w:t>
      </w:r>
    </w:p>
    <w:p w:rsidR="00362153" w:rsidRPr="00725E7D" w:rsidRDefault="00362153" w:rsidP="00362153">
      <w:pPr>
        <w:autoSpaceDE w:val="0"/>
        <w:autoSpaceDN w:val="0"/>
        <w:adjustRightInd w:val="0"/>
        <w:spacing w:after="0" w:line="360" w:lineRule="auto"/>
        <w:ind w:firstLine="567"/>
        <w:jc w:val="both"/>
        <w:rPr>
          <w:rFonts w:ascii="Times New Roman CYR" w:hAnsi="Times New Roman CYR" w:cs="Times New Roman CYR"/>
          <w:sz w:val="28"/>
          <w:szCs w:val="28"/>
          <w:lang w:val="uk-UA"/>
        </w:rPr>
      </w:pPr>
      <w:r w:rsidRPr="00725E7D">
        <w:rPr>
          <w:rFonts w:ascii="Times New Roman CYR" w:hAnsi="Times New Roman CYR" w:cs="Times New Roman CYR"/>
          <w:sz w:val="28"/>
          <w:szCs w:val="28"/>
          <w:lang w:val="uk-UA"/>
        </w:rPr>
        <w:t>Причому умови договору прокату встановлюються однаковими для всіх споживачів, крім тих, кому за законом надані відповідні пільги. Наймач не має права надавати переваги одному споживачеві перед іншим щодо укладення публічного договору, якщо інше не встановлено законом [1].</w:t>
      </w:r>
    </w:p>
    <w:p w:rsidR="00362153" w:rsidRPr="00725E7D" w:rsidRDefault="00362153" w:rsidP="00362153">
      <w:pPr>
        <w:autoSpaceDE w:val="0"/>
        <w:autoSpaceDN w:val="0"/>
        <w:adjustRightInd w:val="0"/>
        <w:spacing w:after="0" w:line="360" w:lineRule="auto"/>
        <w:ind w:firstLine="567"/>
        <w:jc w:val="both"/>
        <w:rPr>
          <w:rFonts w:ascii="Times New Roman CYR" w:hAnsi="Times New Roman CYR" w:cs="Times New Roman CYR"/>
          <w:sz w:val="28"/>
          <w:szCs w:val="28"/>
          <w:lang w:val="uk-UA"/>
        </w:rPr>
      </w:pPr>
      <w:r w:rsidRPr="00725E7D">
        <w:rPr>
          <w:rFonts w:ascii="Times New Roman CYR" w:hAnsi="Times New Roman CYR" w:cs="Times New Roman CYR"/>
          <w:sz w:val="28"/>
          <w:szCs w:val="28"/>
          <w:lang w:val="uk-UA"/>
        </w:rPr>
        <w:t xml:space="preserve">Предметом договору прокату є річ, яка використовується для задоволення побутових невиробничих потреб. Проте предмет договору прокату може використовуватися також і для виробничих потреб, якщо це встановлено договором. Останнє ще раз підкреслює, що договір прокату для наймача може як мати характер підприємницького, так і бути непідприємницьким, побутовим [1]. </w:t>
      </w:r>
    </w:p>
    <w:p w:rsidR="00362153" w:rsidRPr="00725E7D" w:rsidRDefault="00362153" w:rsidP="00362153">
      <w:pPr>
        <w:autoSpaceDE w:val="0"/>
        <w:autoSpaceDN w:val="0"/>
        <w:adjustRightInd w:val="0"/>
        <w:spacing w:after="0" w:line="360" w:lineRule="auto"/>
        <w:ind w:firstLine="567"/>
        <w:jc w:val="both"/>
        <w:rPr>
          <w:rFonts w:ascii="Times New Roman CYR" w:hAnsi="Times New Roman CYR" w:cs="Times New Roman CYR"/>
          <w:sz w:val="28"/>
          <w:szCs w:val="28"/>
          <w:lang w:val="uk-UA"/>
        </w:rPr>
      </w:pPr>
      <w:r w:rsidRPr="00725E7D">
        <w:rPr>
          <w:rFonts w:ascii="Times New Roman CYR" w:hAnsi="Times New Roman CYR" w:cs="Times New Roman CYR"/>
          <w:sz w:val="28"/>
          <w:szCs w:val="28"/>
          <w:lang w:val="uk-UA"/>
        </w:rPr>
        <w:t>Договір прокату є платним договором. За ст. 789 ЦК плата за прокат речі встановлюється за тарифами наймодавця і є істотною умовою договору прокату. Оскільки договір прокату є договором приєднання, то плата за користування майном, як і інші істотні умови, визначається наймодавцем самостійно і не погоджується з наймачем [1].</w:t>
      </w:r>
    </w:p>
    <w:p w:rsidR="00362153" w:rsidRPr="00725E7D" w:rsidRDefault="00362153" w:rsidP="00362153">
      <w:pPr>
        <w:autoSpaceDE w:val="0"/>
        <w:autoSpaceDN w:val="0"/>
        <w:adjustRightInd w:val="0"/>
        <w:spacing w:after="0" w:line="360" w:lineRule="auto"/>
        <w:ind w:firstLine="567"/>
        <w:jc w:val="both"/>
        <w:rPr>
          <w:rFonts w:ascii="Times New Roman CYR" w:hAnsi="Times New Roman CYR" w:cs="Times New Roman CYR"/>
          <w:sz w:val="28"/>
          <w:szCs w:val="28"/>
          <w:lang w:val="uk-UA"/>
        </w:rPr>
      </w:pPr>
      <w:r w:rsidRPr="00725E7D">
        <w:rPr>
          <w:rFonts w:ascii="Times New Roman CYR" w:hAnsi="Times New Roman CYR" w:cs="Times New Roman CYR"/>
          <w:sz w:val="28"/>
          <w:szCs w:val="28"/>
          <w:lang w:val="uk-UA"/>
        </w:rPr>
        <w:t>Договір прокату є строковим договором. Це, як і вживання терміна «користування» у визначенні договору прокату, означає, що по закінченні строку, на яке передане майно, останнє повинне бути повернуте наймодавцю.</w:t>
      </w:r>
    </w:p>
    <w:p w:rsidR="00362153" w:rsidRPr="00725E7D" w:rsidRDefault="00362153" w:rsidP="00362153">
      <w:pPr>
        <w:autoSpaceDE w:val="0"/>
        <w:autoSpaceDN w:val="0"/>
        <w:adjustRightInd w:val="0"/>
        <w:spacing w:after="0" w:line="360" w:lineRule="auto"/>
        <w:ind w:firstLine="567"/>
        <w:jc w:val="both"/>
        <w:rPr>
          <w:rFonts w:ascii="Times New Roman CYR" w:hAnsi="Times New Roman CYR" w:cs="Times New Roman CYR"/>
          <w:sz w:val="28"/>
          <w:szCs w:val="28"/>
          <w:lang w:val="uk-UA"/>
        </w:rPr>
      </w:pPr>
      <w:r w:rsidRPr="00725E7D">
        <w:rPr>
          <w:rFonts w:ascii="Times New Roman CYR" w:hAnsi="Times New Roman CYR" w:cs="Times New Roman CYR"/>
          <w:sz w:val="28"/>
          <w:szCs w:val="28"/>
          <w:lang w:val="uk-UA"/>
        </w:rPr>
        <w:t>Особливостями договору прокату, порівняно з класичним договором найму, є заборона, вміщена у ст. 791 ЦК, на укладання наймачем договору піднайму. Крім того, на відміну від положень ч. 2 ст. 777 ЦК, наймач не має переважного права на купівлю речі у разі її продажу наймодавцем [1].</w:t>
      </w:r>
    </w:p>
    <w:p w:rsidR="00362153" w:rsidRPr="00725E7D" w:rsidRDefault="00362153" w:rsidP="00362153">
      <w:pPr>
        <w:autoSpaceDE w:val="0"/>
        <w:autoSpaceDN w:val="0"/>
        <w:adjustRightInd w:val="0"/>
        <w:spacing w:after="0" w:line="360" w:lineRule="auto"/>
        <w:ind w:firstLine="567"/>
        <w:jc w:val="both"/>
        <w:rPr>
          <w:rFonts w:ascii="Times New Roman CYR" w:hAnsi="Times New Roman CYR" w:cs="Times New Roman CYR"/>
          <w:sz w:val="28"/>
          <w:szCs w:val="28"/>
          <w:lang w:val="uk-UA"/>
        </w:rPr>
      </w:pPr>
      <w:r w:rsidRPr="00725E7D">
        <w:rPr>
          <w:rFonts w:ascii="Times New Roman CYR" w:hAnsi="Times New Roman CYR" w:cs="Times New Roman CYR"/>
          <w:sz w:val="28"/>
          <w:szCs w:val="28"/>
          <w:lang w:val="uk-UA"/>
        </w:rPr>
        <w:t>Наймач, на відміну від наймодавця, може укладати договори прокату незалежно від наявності чи відсутності у нього статусу суб'єкта підприємницької діяльності. Тобто, договір прокату для наймача може бути як підприємницькім, якщо укладається у зв'язку зі здійсненням ним підприємницької діяльності, так і не бути таким [2, c. 603].</w:t>
      </w:r>
    </w:p>
    <w:p w:rsidR="00362153" w:rsidRPr="00725E7D" w:rsidRDefault="00362153" w:rsidP="00362153">
      <w:pPr>
        <w:autoSpaceDE w:val="0"/>
        <w:autoSpaceDN w:val="0"/>
        <w:adjustRightInd w:val="0"/>
        <w:spacing w:after="0" w:line="360" w:lineRule="auto"/>
        <w:ind w:firstLine="567"/>
        <w:jc w:val="both"/>
        <w:rPr>
          <w:rFonts w:ascii="Times New Roman CYR" w:hAnsi="Times New Roman CYR" w:cs="Times New Roman CYR"/>
          <w:sz w:val="28"/>
          <w:szCs w:val="28"/>
          <w:lang w:val="uk-UA"/>
        </w:rPr>
      </w:pPr>
      <w:r w:rsidRPr="00725E7D">
        <w:rPr>
          <w:rFonts w:ascii="Times New Roman CYR" w:hAnsi="Times New Roman CYR" w:cs="Times New Roman CYR"/>
          <w:sz w:val="28"/>
          <w:szCs w:val="28"/>
          <w:lang w:val="uk-UA"/>
        </w:rPr>
        <w:lastRenderedPageBreak/>
        <w:t xml:space="preserve">Також договір прокату може бути укладений з умовою передання речі в майбутньому; в такому разі договір прокату буде </w:t>
      </w:r>
      <w:proofErr w:type="spellStart"/>
      <w:r w:rsidRPr="00725E7D">
        <w:rPr>
          <w:rFonts w:ascii="Times New Roman CYR" w:hAnsi="Times New Roman CYR" w:cs="Times New Roman CYR"/>
          <w:sz w:val="28"/>
          <w:szCs w:val="28"/>
          <w:lang w:val="uk-UA"/>
        </w:rPr>
        <w:t>консенсуальним</w:t>
      </w:r>
      <w:proofErr w:type="spellEnd"/>
      <w:r w:rsidRPr="00725E7D">
        <w:rPr>
          <w:rFonts w:ascii="Times New Roman CYR" w:hAnsi="Times New Roman CYR" w:cs="Times New Roman CYR"/>
          <w:sz w:val="28"/>
          <w:szCs w:val="28"/>
          <w:lang w:val="uk-UA"/>
        </w:rPr>
        <w:t>, тобто таким, що вважається укладеним з моменту погодження сторонами всіх істотних умов [3, c.141].</w:t>
      </w:r>
    </w:p>
    <w:p w:rsidR="00362153" w:rsidRPr="00725E7D" w:rsidRDefault="00362153" w:rsidP="00362153">
      <w:pPr>
        <w:autoSpaceDE w:val="0"/>
        <w:autoSpaceDN w:val="0"/>
        <w:adjustRightInd w:val="0"/>
        <w:spacing w:after="0" w:line="360" w:lineRule="auto"/>
        <w:ind w:firstLine="567"/>
        <w:jc w:val="both"/>
        <w:rPr>
          <w:rFonts w:ascii="Times New Roman CYR" w:hAnsi="Times New Roman CYR" w:cs="Times New Roman CYR"/>
          <w:sz w:val="28"/>
          <w:szCs w:val="28"/>
          <w:lang w:val="uk-UA"/>
        </w:rPr>
      </w:pPr>
      <w:r w:rsidRPr="00725E7D">
        <w:rPr>
          <w:rFonts w:ascii="Times New Roman CYR" w:hAnsi="Times New Roman CYR" w:cs="Times New Roman CYR"/>
          <w:sz w:val="28"/>
          <w:szCs w:val="28"/>
          <w:lang w:val="uk-UA"/>
        </w:rPr>
        <w:t>Як висновок, хочеться зауважити, що нелогічною та необґрунтованою уявляється позиція законодавця, якою при формулюванні поняття договору прокату у ст. 787 ЦК України спеціально зазначено, що цей договір є договором приєднання. По-перше, у спеціальній частині договірного права про договір приєднання згадується тільки відносно одного договору прокату, хоч очевидним є те, що застосування договорів приєднання не обмежується тільки цими договорами. По-друге, імперативна вказівка на те, що договір прокату є договором приєднання, унеможливлює укладення договору прокату на взаємоузгоджених умовах і не в стандартній формі.</w:t>
      </w:r>
    </w:p>
    <w:p w:rsidR="00362153" w:rsidRPr="00725E7D" w:rsidRDefault="00362153" w:rsidP="00362153">
      <w:pPr>
        <w:autoSpaceDE w:val="0"/>
        <w:autoSpaceDN w:val="0"/>
        <w:adjustRightInd w:val="0"/>
        <w:spacing w:after="0" w:line="360" w:lineRule="auto"/>
        <w:ind w:firstLine="567"/>
        <w:jc w:val="both"/>
        <w:rPr>
          <w:rFonts w:ascii="Times New Roman CYR" w:hAnsi="Times New Roman CYR" w:cs="Times New Roman CYR"/>
          <w:sz w:val="28"/>
          <w:szCs w:val="28"/>
          <w:lang w:val="uk-UA"/>
        </w:rPr>
      </w:pPr>
      <w:r w:rsidRPr="00725E7D">
        <w:rPr>
          <w:rFonts w:ascii="Times New Roman CYR" w:hAnsi="Times New Roman CYR" w:cs="Times New Roman CYR"/>
          <w:sz w:val="28"/>
          <w:szCs w:val="28"/>
          <w:lang w:val="uk-UA"/>
        </w:rPr>
        <w:t>З вищевказаного слідує висновок про необхідність виключення зі ст. 787 ЦК України положення про те, що договір прокату є договором приєднання.</w:t>
      </w:r>
    </w:p>
    <w:p w:rsidR="00362153" w:rsidRPr="00725E7D" w:rsidRDefault="00362153" w:rsidP="00362153">
      <w:pPr>
        <w:autoSpaceDE w:val="0"/>
        <w:autoSpaceDN w:val="0"/>
        <w:adjustRightInd w:val="0"/>
        <w:spacing w:after="0"/>
        <w:jc w:val="center"/>
        <w:rPr>
          <w:rFonts w:ascii="Times New Roman" w:hAnsi="Times New Roman" w:cs="Times New Roman"/>
          <w:i/>
          <w:sz w:val="28"/>
          <w:szCs w:val="28"/>
          <w:lang w:val="uk-UA"/>
        </w:rPr>
      </w:pPr>
      <w:r w:rsidRPr="00725E7D">
        <w:rPr>
          <w:rFonts w:ascii="Times New Roman" w:hAnsi="Times New Roman" w:cs="Times New Roman"/>
          <w:i/>
          <w:sz w:val="28"/>
          <w:szCs w:val="28"/>
          <w:lang w:val="uk-UA"/>
        </w:rPr>
        <w:t>Література</w:t>
      </w:r>
    </w:p>
    <w:p w:rsidR="00362153" w:rsidRPr="00725E7D" w:rsidRDefault="00362153" w:rsidP="00362153">
      <w:pPr>
        <w:autoSpaceDE w:val="0"/>
        <w:autoSpaceDN w:val="0"/>
        <w:adjustRightInd w:val="0"/>
        <w:spacing w:after="0"/>
        <w:ind w:firstLine="567"/>
        <w:jc w:val="both"/>
        <w:rPr>
          <w:rFonts w:ascii="Times New Roman" w:hAnsi="Times New Roman" w:cs="Times New Roman"/>
          <w:sz w:val="40"/>
          <w:szCs w:val="40"/>
          <w:lang w:val="uk-UA"/>
        </w:rPr>
      </w:pPr>
      <w:r w:rsidRPr="00725E7D">
        <w:rPr>
          <w:rFonts w:ascii="Times New Roman" w:hAnsi="Times New Roman" w:cs="Times New Roman"/>
          <w:sz w:val="28"/>
          <w:szCs w:val="28"/>
          <w:lang w:val="uk-UA"/>
        </w:rPr>
        <w:t xml:space="preserve">1. Цивільний кодекс України (в редакції від 02.11.2016 р.). [Електронний ресурс]. – Режим доступу : </w:t>
      </w:r>
      <w:hyperlink r:id="rId4" w:history="1">
        <w:r w:rsidRPr="00725E7D">
          <w:rPr>
            <w:rFonts w:ascii="Times New Roman" w:hAnsi="Times New Roman" w:cs="Times New Roman"/>
            <w:sz w:val="28"/>
            <w:szCs w:val="28"/>
            <w:lang w:val="uk-UA"/>
          </w:rPr>
          <w:t>http://</w:t>
        </w:r>
        <w:r w:rsidRPr="00725E7D">
          <w:rPr>
            <w:rFonts w:ascii="Times New Roman" w:hAnsi="Times New Roman" w:cs="Times New Roman"/>
            <w:vanish/>
            <w:sz w:val="28"/>
            <w:szCs w:val="28"/>
            <w:lang w:val="uk-UA"/>
          </w:rPr>
          <w:t>HYPERLINK "http://zakon2.rada.gov.ua/laws/show/435-15"</w:t>
        </w:r>
        <w:r w:rsidRPr="00725E7D">
          <w:rPr>
            <w:rFonts w:ascii="Times New Roman" w:hAnsi="Times New Roman" w:cs="Times New Roman"/>
            <w:sz w:val="28"/>
            <w:szCs w:val="28"/>
            <w:lang w:val="uk-UA"/>
          </w:rPr>
          <w:t>zakon</w:t>
        </w:r>
        <w:r w:rsidRPr="00725E7D">
          <w:rPr>
            <w:rFonts w:ascii="Times New Roman" w:hAnsi="Times New Roman" w:cs="Times New Roman"/>
            <w:vanish/>
            <w:sz w:val="28"/>
            <w:szCs w:val="28"/>
            <w:lang w:val="uk-UA"/>
          </w:rPr>
          <w:t>HYPERLINK "http://zakon2.rada.gov.ua/laws/show/435-15"</w:t>
        </w:r>
        <w:r w:rsidRPr="00725E7D">
          <w:rPr>
            <w:rFonts w:ascii="Times New Roman" w:hAnsi="Times New Roman" w:cs="Times New Roman"/>
            <w:sz w:val="28"/>
            <w:szCs w:val="28"/>
            <w:lang w:val="uk-UA"/>
          </w:rPr>
          <w:t>2.</w:t>
        </w:r>
        <w:r w:rsidRPr="00725E7D">
          <w:rPr>
            <w:rFonts w:ascii="Times New Roman" w:hAnsi="Times New Roman" w:cs="Times New Roman"/>
            <w:vanish/>
            <w:sz w:val="28"/>
            <w:szCs w:val="28"/>
            <w:lang w:val="uk-UA"/>
          </w:rPr>
          <w:t>HYPERLINK "http://zakon2.rada.gov.ua/laws/show/435-15"</w:t>
        </w:r>
        <w:r w:rsidRPr="00725E7D">
          <w:rPr>
            <w:rFonts w:ascii="Times New Roman" w:hAnsi="Times New Roman" w:cs="Times New Roman"/>
            <w:sz w:val="28"/>
            <w:szCs w:val="28"/>
            <w:lang w:val="uk-UA"/>
          </w:rPr>
          <w:t>rada</w:t>
        </w:r>
        <w:r w:rsidRPr="00725E7D">
          <w:rPr>
            <w:rFonts w:ascii="Times New Roman" w:hAnsi="Times New Roman" w:cs="Times New Roman"/>
            <w:vanish/>
            <w:sz w:val="28"/>
            <w:szCs w:val="28"/>
            <w:lang w:val="uk-UA"/>
          </w:rPr>
          <w:t>HYPERLINK "http://zakon2.rada.gov.ua/laws/show/435-15"</w:t>
        </w:r>
        <w:r w:rsidRPr="00725E7D">
          <w:rPr>
            <w:rFonts w:ascii="Times New Roman" w:hAnsi="Times New Roman" w:cs="Times New Roman"/>
            <w:sz w:val="28"/>
            <w:szCs w:val="28"/>
            <w:lang w:val="uk-UA"/>
          </w:rPr>
          <w:t>.</w:t>
        </w:r>
        <w:r w:rsidRPr="00725E7D">
          <w:rPr>
            <w:rFonts w:ascii="Times New Roman" w:hAnsi="Times New Roman" w:cs="Times New Roman"/>
            <w:vanish/>
            <w:sz w:val="28"/>
            <w:szCs w:val="28"/>
            <w:lang w:val="uk-UA"/>
          </w:rPr>
          <w:t>HYPERLINK "http://zakon2.rada.gov.ua/laws/show/435-15"</w:t>
        </w:r>
        <w:r w:rsidRPr="00725E7D">
          <w:rPr>
            <w:rFonts w:ascii="Times New Roman" w:hAnsi="Times New Roman" w:cs="Times New Roman"/>
            <w:sz w:val="28"/>
            <w:szCs w:val="28"/>
            <w:lang w:val="uk-UA"/>
          </w:rPr>
          <w:t>gov</w:t>
        </w:r>
        <w:r w:rsidRPr="00725E7D">
          <w:rPr>
            <w:rFonts w:ascii="Times New Roman" w:hAnsi="Times New Roman" w:cs="Times New Roman"/>
            <w:vanish/>
            <w:sz w:val="28"/>
            <w:szCs w:val="28"/>
            <w:lang w:val="uk-UA"/>
          </w:rPr>
          <w:t>HYPERLINK "http://zakon2.rada.gov.ua/laws/show/435-15"</w:t>
        </w:r>
        <w:r w:rsidRPr="00725E7D">
          <w:rPr>
            <w:rFonts w:ascii="Times New Roman" w:hAnsi="Times New Roman" w:cs="Times New Roman"/>
            <w:sz w:val="28"/>
            <w:szCs w:val="28"/>
            <w:lang w:val="uk-UA"/>
          </w:rPr>
          <w:t>.</w:t>
        </w:r>
        <w:r w:rsidRPr="00725E7D">
          <w:rPr>
            <w:rFonts w:ascii="Times New Roman" w:hAnsi="Times New Roman" w:cs="Times New Roman"/>
            <w:vanish/>
            <w:sz w:val="28"/>
            <w:szCs w:val="28"/>
            <w:lang w:val="uk-UA"/>
          </w:rPr>
          <w:t>HYPERLINK "http://zakon2.rada.gov.ua/laws/show/435-15"</w:t>
        </w:r>
        <w:r w:rsidRPr="00725E7D">
          <w:rPr>
            <w:rFonts w:ascii="Times New Roman" w:hAnsi="Times New Roman" w:cs="Times New Roman"/>
            <w:sz w:val="28"/>
            <w:szCs w:val="28"/>
            <w:lang w:val="uk-UA"/>
          </w:rPr>
          <w:t>ua</w:t>
        </w:r>
        <w:r w:rsidRPr="00725E7D">
          <w:rPr>
            <w:rFonts w:ascii="Times New Roman" w:hAnsi="Times New Roman" w:cs="Times New Roman"/>
            <w:vanish/>
            <w:sz w:val="28"/>
            <w:szCs w:val="28"/>
            <w:lang w:val="uk-UA"/>
          </w:rPr>
          <w:t>HYPERLINK "http://zakon2.rada.gov.ua/laws/show/435-15"</w:t>
        </w:r>
        <w:r w:rsidRPr="00725E7D">
          <w:rPr>
            <w:rFonts w:ascii="Times New Roman" w:hAnsi="Times New Roman" w:cs="Times New Roman"/>
            <w:sz w:val="28"/>
            <w:szCs w:val="28"/>
            <w:lang w:val="uk-UA"/>
          </w:rPr>
          <w:t>/</w:t>
        </w:r>
        <w:r w:rsidRPr="00725E7D">
          <w:rPr>
            <w:rFonts w:ascii="Times New Roman" w:hAnsi="Times New Roman" w:cs="Times New Roman"/>
            <w:vanish/>
            <w:sz w:val="28"/>
            <w:szCs w:val="28"/>
            <w:lang w:val="uk-UA"/>
          </w:rPr>
          <w:t>HYPERLINK "http://zakon2.rada.gov.ua/laws/show/435-15"</w:t>
        </w:r>
        <w:r w:rsidRPr="00725E7D">
          <w:rPr>
            <w:rFonts w:ascii="Times New Roman" w:hAnsi="Times New Roman" w:cs="Times New Roman"/>
            <w:sz w:val="28"/>
            <w:szCs w:val="28"/>
            <w:lang w:val="uk-UA"/>
          </w:rPr>
          <w:t>laws</w:t>
        </w:r>
        <w:r w:rsidRPr="00725E7D">
          <w:rPr>
            <w:rFonts w:ascii="Times New Roman" w:hAnsi="Times New Roman" w:cs="Times New Roman"/>
            <w:vanish/>
            <w:sz w:val="28"/>
            <w:szCs w:val="28"/>
            <w:lang w:val="uk-UA"/>
          </w:rPr>
          <w:t>HYPERLINK "http://zakon2.rada.gov.ua/laws/show/435-15"</w:t>
        </w:r>
        <w:r w:rsidRPr="00725E7D">
          <w:rPr>
            <w:rFonts w:ascii="Times New Roman" w:hAnsi="Times New Roman" w:cs="Times New Roman"/>
            <w:sz w:val="28"/>
            <w:szCs w:val="28"/>
            <w:lang w:val="uk-UA"/>
          </w:rPr>
          <w:t>/</w:t>
        </w:r>
        <w:r w:rsidRPr="00725E7D">
          <w:rPr>
            <w:rFonts w:ascii="Times New Roman" w:hAnsi="Times New Roman" w:cs="Times New Roman"/>
            <w:vanish/>
            <w:sz w:val="28"/>
            <w:szCs w:val="28"/>
            <w:lang w:val="uk-UA"/>
          </w:rPr>
          <w:t>HYPERLINK "http://zakon2.rada.gov.ua/laws/show/435-15"</w:t>
        </w:r>
        <w:r w:rsidRPr="00725E7D">
          <w:rPr>
            <w:rFonts w:ascii="Times New Roman" w:hAnsi="Times New Roman" w:cs="Times New Roman"/>
            <w:sz w:val="28"/>
            <w:szCs w:val="28"/>
            <w:lang w:val="uk-UA"/>
          </w:rPr>
          <w:t>show</w:t>
        </w:r>
        <w:r w:rsidRPr="00725E7D">
          <w:rPr>
            <w:rFonts w:ascii="Times New Roman" w:hAnsi="Times New Roman" w:cs="Times New Roman"/>
            <w:vanish/>
            <w:sz w:val="28"/>
            <w:szCs w:val="28"/>
            <w:lang w:val="uk-UA"/>
          </w:rPr>
          <w:t>HYPERLINK "http://zakon2.rada.gov.ua/laws/show/435-15"</w:t>
        </w:r>
        <w:r w:rsidRPr="00725E7D">
          <w:rPr>
            <w:rFonts w:ascii="Times New Roman" w:hAnsi="Times New Roman" w:cs="Times New Roman"/>
            <w:sz w:val="28"/>
            <w:szCs w:val="28"/>
            <w:lang w:val="uk-UA"/>
          </w:rPr>
          <w:t>/435-15</w:t>
        </w:r>
      </w:hyperlink>
      <w:r w:rsidRPr="00725E7D">
        <w:rPr>
          <w:rFonts w:ascii="Times New Roman" w:hAnsi="Times New Roman" w:cs="Times New Roman"/>
          <w:sz w:val="28"/>
          <w:szCs w:val="28"/>
          <w:lang w:val="uk-UA"/>
        </w:rPr>
        <w:t>.</w:t>
      </w:r>
    </w:p>
    <w:p w:rsidR="00362153" w:rsidRPr="00725E7D" w:rsidRDefault="00362153" w:rsidP="00362153">
      <w:pPr>
        <w:autoSpaceDE w:val="0"/>
        <w:autoSpaceDN w:val="0"/>
        <w:adjustRightInd w:val="0"/>
        <w:spacing w:after="0"/>
        <w:ind w:firstLine="567"/>
        <w:jc w:val="both"/>
        <w:rPr>
          <w:rFonts w:ascii="Times New Roman" w:hAnsi="Times New Roman" w:cs="Times New Roman"/>
          <w:sz w:val="56"/>
          <w:szCs w:val="56"/>
          <w:lang w:val="uk-UA"/>
        </w:rPr>
      </w:pPr>
      <w:r w:rsidRPr="00725E7D">
        <w:rPr>
          <w:rFonts w:ascii="Times New Roman" w:hAnsi="Times New Roman" w:cs="Times New Roman"/>
          <w:sz w:val="28"/>
          <w:szCs w:val="28"/>
          <w:lang w:val="uk-UA"/>
        </w:rPr>
        <w:t xml:space="preserve">2. Науково-практичний коментар Цивільного кодексу України: у 2 т. / за ред. О. В. </w:t>
      </w:r>
      <w:proofErr w:type="spellStart"/>
      <w:r w:rsidRPr="00725E7D">
        <w:rPr>
          <w:rFonts w:ascii="Times New Roman" w:hAnsi="Times New Roman" w:cs="Times New Roman"/>
          <w:sz w:val="28"/>
          <w:szCs w:val="28"/>
          <w:lang w:val="uk-UA"/>
        </w:rPr>
        <w:t>Дзери</w:t>
      </w:r>
      <w:proofErr w:type="spellEnd"/>
      <w:r w:rsidRPr="00725E7D">
        <w:rPr>
          <w:rFonts w:ascii="Times New Roman" w:hAnsi="Times New Roman" w:cs="Times New Roman"/>
          <w:sz w:val="28"/>
          <w:szCs w:val="28"/>
          <w:lang w:val="uk-UA"/>
        </w:rPr>
        <w:t>, Н. С.</w:t>
      </w:r>
      <w:proofErr w:type="spellStart"/>
      <w:r w:rsidRPr="00725E7D">
        <w:rPr>
          <w:rFonts w:ascii="Times New Roman" w:hAnsi="Times New Roman" w:cs="Times New Roman"/>
          <w:sz w:val="28"/>
          <w:szCs w:val="28"/>
          <w:lang w:val="uk-UA"/>
        </w:rPr>
        <w:t>Кузнєцової</w:t>
      </w:r>
      <w:proofErr w:type="spellEnd"/>
      <w:r w:rsidRPr="00725E7D">
        <w:rPr>
          <w:rFonts w:ascii="Times New Roman" w:hAnsi="Times New Roman" w:cs="Times New Roman"/>
          <w:sz w:val="28"/>
          <w:szCs w:val="28"/>
          <w:lang w:val="uk-UA"/>
        </w:rPr>
        <w:t xml:space="preserve">, В. В. </w:t>
      </w:r>
      <w:proofErr w:type="spellStart"/>
      <w:r w:rsidRPr="00725E7D">
        <w:rPr>
          <w:rFonts w:ascii="Times New Roman" w:hAnsi="Times New Roman" w:cs="Times New Roman"/>
          <w:sz w:val="28"/>
          <w:szCs w:val="28"/>
          <w:lang w:val="uk-UA"/>
        </w:rPr>
        <w:t>Луця</w:t>
      </w:r>
      <w:proofErr w:type="spellEnd"/>
      <w:r w:rsidRPr="00725E7D">
        <w:rPr>
          <w:rFonts w:ascii="Times New Roman" w:hAnsi="Times New Roman" w:cs="Times New Roman"/>
          <w:sz w:val="28"/>
          <w:szCs w:val="28"/>
          <w:lang w:val="uk-UA"/>
        </w:rPr>
        <w:t xml:space="preserve">. – К. : </w:t>
      </w:r>
      <w:proofErr w:type="spellStart"/>
      <w:r w:rsidRPr="00725E7D">
        <w:rPr>
          <w:rFonts w:ascii="Times New Roman" w:hAnsi="Times New Roman" w:cs="Times New Roman"/>
          <w:sz w:val="28"/>
          <w:szCs w:val="28"/>
          <w:lang w:val="uk-UA"/>
        </w:rPr>
        <w:t>Юрінком</w:t>
      </w:r>
      <w:proofErr w:type="spellEnd"/>
      <w:r w:rsidRPr="00725E7D">
        <w:rPr>
          <w:rFonts w:ascii="Times New Roman" w:hAnsi="Times New Roman" w:cs="Times New Roman"/>
          <w:sz w:val="28"/>
          <w:szCs w:val="28"/>
          <w:lang w:val="uk-UA"/>
        </w:rPr>
        <w:t xml:space="preserve"> Інтер, 2010. – Т.II. – 1056 с.</w:t>
      </w:r>
    </w:p>
    <w:p w:rsidR="009C3EFB" w:rsidRDefault="00362153" w:rsidP="00362153">
      <w:r w:rsidRPr="00725E7D">
        <w:rPr>
          <w:rFonts w:ascii="Times New Roman" w:hAnsi="Times New Roman" w:cs="Times New Roman"/>
          <w:sz w:val="28"/>
          <w:szCs w:val="28"/>
          <w:lang w:val="uk-UA"/>
        </w:rPr>
        <w:t xml:space="preserve">3. </w:t>
      </w:r>
      <w:proofErr w:type="spellStart"/>
      <w:r w:rsidRPr="00725E7D">
        <w:rPr>
          <w:rFonts w:ascii="Times New Roman" w:hAnsi="Times New Roman" w:cs="Times New Roman"/>
          <w:sz w:val="28"/>
          <w:szCs w:val="28"/>
          <w:lang w:val="uk-UA"/>
        </w:rPr>
        <w:t>Федорчук</w:t>
      </w:r>
      <w:proofErr w:type="spellEnd"/>
      <w:r w:rsidRPr="00725E7D">
        <w:rPr>
          <w:rFonts w:ascii="Times New Roman" w:hAnsi="Times New Roman" w:cs="Times New Roman"/>
          <w:sz w:val="28"/>
          <w:szCs w:val="28"/>
          <w:lang w:val="uk-UA"/>
        </w:rPr>
        <w:t xml:space="preserve"> А. В. Особливості договору прокату як різновиду договорів приєднання / А. В. </w:t>
      </w:r>
      <w:proofErr w:type="spellStart"/>
      <w:r w:rsidRPr="00725E7D">
        <w:rPr>
          <w:rFonts w:ascii="Times New Roman" w:hAnsi="Times New Roman" w:cs="Times New Roman"/>
          <w:sz w:val="28"/>
          <w:szCs w:val="28"/>
          <w:lang w:val="uk-UA"/>
        </w:rPr>
        <w:t>Федорчук</w:t>
      </w:r>
      <w:proofErr w:type="spellEnd"/>
      <w:r w:rsidRPr="00725E7D">
        <w:rPr>
          <w:rFonts w:ascii="Times New Roman" w:hAnsi="Times New Roman" w:cs="Times New Roman"/>
          <w:sz w:val="28"/>
          <w:szCs w:val="28"/>
          <w:lang w:val="uk-UA"/>
        </w:rPr>
        <w:t xml:space="preserve"> //збірник наукових </w:t>
      </w:r>
      <w:proofErr w:type="spellStart"/>
      <w:r w:rsidRPr="00725E7D">
        <w:rPr>
          <w:rFonts w:ascii="Times New Roman" w:hAnsi="Times New Roman" w:cs="Times New Roman"/>
          <w:sz w:val="28"/>
          <w:szCs w:val="28"/>
          <w:lang w:val="uk-UA"/>
        </w:rPr>
        <w:t>статтей</w:t>
      </w:r>
      <w:proofErr w:type="spellEnd"/>
      <w:r w:rsidRPr="00725E7D">
        <w:rPr>
          <w:rFonts w:ascii="Times New Roman" w:hAnsi="Times New Roman" w:cs="Times New Roman"/>
          <w:sz w:val="28"/>
          <w:szCs w:val="28"/>
          <w:lang w:val="uk-UA"/>
        </w:rPr>
        <w:t>. – Х. – 2013. – С. 135 – 150.</w:t>
      </w:r>
    </w:p>
    <w:sectPr w:rsidR="009C3EFB"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62153"/>
    <w:rsid w:val="00362153"/>
    <w:rsid w:val="00765807"/>
    <w:rsid w:val="007E64A5"/>
    <w:rsid w:val="009C3EFB"/>
    <w:rsid w:val="00D5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15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2.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5056</Characters>
  <Application>Microsoft Office Word</Application>
  <DocSecurity>0</DocSecurity>
  <Lines>42</Lines>
  <Paragraphs>11</Paragraphs>
  <ScaleCrop>false</ScaleCrop>
  <Company>Microsoft</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2017-05-19T08:08:00Z</dcterms:created>
  <dcterms:modified xsi:type="dcterms:W3CDTF">2017-05-19T08:08:00Z</dcterms:modified>
</cp:coreProperties>
</file>