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0" w:rsidRPr="00725E7D" w:rsidRDefault="001A54E0" w:rsidP="001A54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УДК 347.79:347.211 (043.2)                                              </w:t>
      </w:r>
    </w:p>
    <w:p w:rsidR="001A54E0" w:rsidRPr="00725E7D" w:rsidRDefault="001A54E0" w:rsidP="001A5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Журавльова В. Г.,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br/>
        <w:t>Навчально-науковий Юридичний інститут,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br/>
        <w:t>Національний авіаційний університет, м. Київ</w:t>
      </w:r>
    </w:p>
    <w:p w:rsidR="001A54E0" w:rsidRPr="00725E7D" w:rsidRDefault="001A54E0" w:rsidP="001A5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 Шуст Н. Б., доктор соціологічних наук, професор</w:t>
      </w:r>
    </w:p>
    <w:p w:rsidR="001A54E0" w:rsidRPr="00725E7D" w:rsidRDefault="001A54E0" w:rsidP="001A5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54E0" w:rsidRPr="00725E7D" w:rsidRDefault="001A54E0" w:rsidP="001A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ПРОБЛЕМАТИКА ЗАКОНОДАВСТВА ЩОДО </w:t>
      </w:r>
    </w:p>
    <w:p w:rsidR="001A54E0" w:rsidRPr="00725E7D" w:rsidRDefault="001A54E0" w:rsidP="001A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ЦИВІЛЬНО-ПРАВОВОЇ ВІДПОВІДАЛЬНОСТІ ЗА ПОРУШЕННЯ МАЙНОВИХ ПРАВ ІНТЕЛЕКТУАЛЬНОЇ ВЛАСНОСТІ</w:t>
      </w:r>
    </w:p>
    <w:p w:rsidR="001A54E0" w:rsidRPr="00725E7D" w:rsidRDefault="001A54E0" w:rsidP="001A5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 та право інтелектуальної власності є важливим стратегічним ресурсом як на рівні держави, так і на рівні діяльності будь-яких фізичних та юридичних осіб, чия діяльність пов’язана як зі створенням об’єктів права інтелектуальної власності, так із законним їх набуттям чи володінням на підставі закону чи договору.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Правовідносини, що виникають між учасниками цивільних правочинів, предметом яких виступають переважно майнові права інтелектуальної власності, є надзвичайно складними. Пояснюється це тим, що врегулювання питань щодо цієї сфери діяльності на законодавчому рівні хоча й відбулося порівняно давно, тим не менше на сьогоднішній день залишається багато нерозв’язаних проблем, що стосуються цієї сфери діяльності. Певною мірою це пов’язано як з великою кількістю об'єктів інтелектуальної власності [1, с. 221], так і неоднозначністю судової практики у цій сфері, складностями у правозастосуванні, викликаними як нерозумінням суті прав інтелектуальної власності, зловживаннями своїми правами, так і недосконалим законодавчим регулюванням (колізіями та прогалинами у досліджуваній площині суспільних відносин). 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У ст. 420 ЦКУ зазначається перелік об'єктів права інтелектуальної власності. Тому, із наведеного переліку у даній статті об'єктів права інтелектуальної власності зрозуміло, що майже будь-яка діяльність, і не лише підприємницька, так чи інакше стикається з використанням об'єктів інтелектуальної власності. У зв'язку з цим, питання дотримання авторських та суміжних прав, патентних прав тощо, наслідків порушення цих прав, а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цивільно-правової відповідальності за порушення законодавства у сфері інтелектуальної власності є надзвичайно актуальними [2, c. 103]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.Важливо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щозрозвитком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актуальністю розроблення об’єктів інтелектуальної власності, які у сьогоднішньому світі набирають все більше і більше попиту, виникає питання правової відповідальності за майнових прав інтелектуальної власності.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вище вказане, важливим правовим аспектом виступає саме законодавство та ефективність його заходів регулювання відносин у сфері інтелектуальної власності. Важливою подією для захисту прав інтелектуальністю стало прийняття четвертої книги Цивільного кодексу України, слід вважати важливим етапом для оновлення законодавства, яке регулює відносини у сфері майнових прав інтелектуальної власності. 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Однак аналіз норм даного нормативного акта, а також коментар його розробників свідчать про незавершеність процесу реформування законодавства у галузі охорони та захисту прав інтелектуальної власності, про необхідність подальшої розробки та обґрунтування положень, спрямованих на вдосконалення правового регулювання та практики застосування законодавства про інтелектуальну власність, у тому числі з питань порушень прав інтелектуальної власності. Адже до цього часу так і не було внесено зміни до спеціальних законів у сфері інтелектуальної власності із метою приведення їх у відповідність до норм ЦК України, хоча для цього давалося півроку з моменту прийняття Цивільного кодексу. На даний час взагалі реформування законодавства передбачає поступ шляхом внесення змін не лише до спеціальних законів, але й до самого ЦК України, з метою уніфікації положень законодавчих актів між собою та відповідно до європейських актів із відповідних напрямів. Стосується це й напряму цивільно-правової відповідальності та захисту прав інтелектуальної власності.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Поштовх для проведення зазначених реформ з’явився у 2014 році, коли Україна взяла на себе зобов’язання швидко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імплементувати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європейські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щодо правової охорони й захисту прав інтелектуальної власності внаслідок підписаної Угоди про асоціацію України з ЄС [3]. Захист прав інтелектуальної власності визнано в якості одного з векторів реформування у напрямку забезпечення національної безпеки Стратегією «Україна – 2020», затвердженою Указом Президента України від 12.01.2015 р.[4, c. 103].</w:t>
      </w:r>
    </w:p>
    <w:p w:rsidR="001A54E0" w:rsidRPr="00725E7D" w:rsidRDefault="001A54E0" w:rsidP="001A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Отже, зазначені фактори й широкомасштабний підхід до досліджуваних питань вимагає ґрунтовного наукового дослідження. Проте, комплексних теоретичних розробок проблем цивільно-правової відповідальності за порушення майнових прав інтелектуальної власності, а також аналізу практичної реалізації норм чинного законодавства у цій сфері суспільних відносин на сучасному етапі все ще не вистачає.</w:t>
      </w:r>
    </w:p>
    <w:p w:rsidR="001A54E0" w:rsidRPr="00725E7D" w:rsidRDefault="001A54E0" w:rsidP="001A54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1A54E0" w:rsidRPr="00725E7D" w:rsidRDefault="001A54E0" w:rsidP="001A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1.Калюжний В. В. Порушення прав інтелектуальної власності – неминучий супутник інноваційних стратегій розвитку сучасної економіки / В. В. Калюжний К. 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Сімфор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, 2010. – С. 220 – 223.</w:t>
      </w:r>
    </w:p>
    <w:p w:rsidR="001A54E0" w:rsidRPr="00725E7D" w:rsidRDefault="001A54E0" w:rsidP="001A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Підопригора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О. П. Основи правової охорони інтелектуальної власності в Україні: Підручник / О. П.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Підопригора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, О. Д.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Святоцький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– К. : Концерн «Видавничий Дім «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Юре», 2014. – 236 с.</w:t>
      </w:r>
    </w:p>
    <w:p w:rsidR="001A54E0" w:rsidRPr="00725E7D" w:rsidRDefault="001A54E0" w:rsidP="001A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3. 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сторони: ратифікована 16 вересня 2014 року ВРУ та Європейський парламентом. [Електронний ресурс]. – Режим доступу : http://www.kmu.gov.ua/kmu/control/uk/publish/article?art_id=246581344&amp;cat</w:t>
      </w:r>
    </w:p>
    <w:p w:rsidR="009C3EFB" w:rsidRDefault="001A54E0" w:rsidP="001A54E0">
      <w:r w:rsidRPr="00725E7D">
        <w:rPr>
          <w:rFonts w:ascii="Times New Roman" w:hAnsi="Times New Roman" w:cs="Times New Roman"/>
          <w:sz w:val="28"/>
          <w:szCs w:val="28"/>
          <w:lang w:val="uk-UA"/>
        </w:rPr>
        <w:t>4. Указ Президента України «Про Стратегію сталого розвитку «Україна – 2020» від 12.01.2015 р. [Електронний ресурс]. – Режим доступу : http://www.president.gov.ua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54E0"/>
    <w:rsid w:val="001A54E0"/>
    <w:rsid w:val="002D585A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2017-05-19T08:02:00Z</dcterms:created>
  <dcterms:modified xsi:type="dcterms:W3CDTF">2017-05-19T08:02:00Z</dcterms:modified>
</cp:coreProperties>
</file>