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2E" w:rsidRPr="001E7280" w:rsidRDefault="0084302E" w:rsidP="0084302E">
      <w:pPr>
        <w:pStyle w:val="a7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bookmarkStart w:id="0" w:name="_GoBack"/>
      <w:bookmarkEnd w:id="0"/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 xml:space="preserve"> І. О. </w:t>
      </w:r>
      <w:proofErr w:type="spellStart"/>
      <w:r w:rsidRPr="001E7280">
        <w:rPr>
          <w:szCs w:val="28"/>
          <w:lang w:val="uk-UA"/>
        </w:rPr>
        <w:t>Принципа</w:t>
      </w:r>
      <w:proofErr w:type="spellEnd"/>
      <w:r w:rsidRPr="001E7280">
        <w:rPr>
          <w:szCs w:val="28"/>
          <w:lang w:val="uk-UA"/>
        </w:rPr>
        <w:t xml:space="preserve"> зонування інтер’єрів в контексті гри / І. О. </w:t>
      </w:r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>, І. В.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Джоболда</w:t>
      </w:r>
      <w:proofErr w:type="spellEnd"/>
      <w:r w:rsidRPr="001E7280">
        <w:rPr>
          <w:szCs w:val="28"/>
          <w:lang w:val="uk-UA"/>
        </w:rPr>
        <w:t>  // Прикладна геометрія та інженерна графіка : наук.-техн. збірник.</w:t>
      </w:r>
      <w:r w:rsidR="003164E5">
        <w:rPr>
          <w:szCs w:val="28"/>
          <w:lang w:val="uk-UA"/>
        </w:rPr>
        <w:t xml:space="preserve"> </w:t>
      </w:r>
      <w:r w:rsidRPr="001E7280">
        <w:rPr>
          <w:szCs w:val="28"/>
          <w:lang w:val="uk-UA"/>
        </w:rPr>
        <w:t>– К. : КНУБА, 2010. – Вип. 85. – С. 35-40.</w:t>
      </w:r>
    </w:p>
    <w:p w:rsidR="008426FC" w:rsidRDefault="008426FC"/>
    <w:sectPr w:rsidR="008426FC" w:rsidSect="005E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006C"/>
    <w:rsid w:val="001341D8"/>
    <w:rsid w:val="003164E5"/>
    <w:rsid w:val="005E3C21"/>
    <w:rsid w:val="008426FC"/>
    <w:rsid w:val="0084302E"/>
    <w:rsid w:val="0085407E"/>
    <w:rsid w:val="00AF51AF"/>
    <w:rsid w:val="00E2006C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84302E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84302E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3</cp:revision>
  <dcterms:created xsi:type="dcterms:W3CDTF">2015-06-21T14:46:00Z</dcterms:created>
  <dcterms:modified xsi:type="dcterms:W3CDTF">2015-06-22T11:59:00Z</dcterms:modified>
</cp:coreProperties>
</file>