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C" w:rsidRPr="001E7280" w:rsidRDefault="00B4289C" w:rsidP="00F16326">
      <w:pPr>
        <w:pStyle w:val="a7"/>
        <w:tabs>
          <w:tab w:val="left" w:pos="0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 xml:space="preserve"> І. О. Вплив основних художніх засобів композиції на використання фітодизайну в </w:t>
      </w:r>
      <w:r>
        <w:rPr>
          <w:szCs w:val="28"/>
          <w:lang w:val="uk-UA"/>
        </w:rPr>
        <w:t>інтер’єрі</w:t>
      </w:r>
      <w:r w:rsidRPr="001E7280">
        <w:rPr>
          <w:szCs w:val="28"/>
          <w:lang w:val="uk-UA"/>
        </w:rPr>
        <w:t xml:space="preserve"> / І. О.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, Т. О. Степанюк // Науковий вісник НЛТУ України : зб. наук.-тех. праць.</w:t>
      </w:r>
      <w:r w:rsidR="00F16326">
        <w:rPr>
          <w:szCs w:val="28"/>
          <w:lang w:val="uk-UA"/>
        </w:rPr>
        <w:t xml:space="preserve"> </w:t>
      </w:r>
      <w:r w:rsidRPr="001E7280">
        <w:rPr>
          <w:szCs w:val="28"/>
          <w:lang w:val="uk-UA"/>
        </w:rPr>
        <w:t>– Львів : РВВ НЛТУ України, 2013. – Вип. 23.18. – С. 316-320.</w:t>
      </w:r>
    </w:p>
    <w:p w:rsidR="008426FC" w:rsidRDefault="008426FC">
      <w:bookmarkStart w:id="0" w:name="_GoBack"/>
      <w:bookmarkEnd w:id="0"/>
    </w:p>
    <w:sectPr w:rsidR="008426FC" w:rsidSect="003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7740"/>
    <w:rsid w:val="001341D8"/>
    <w:rsid w:val="003B3CF4"/>
    <w:rsid w:val="008426FC"/>
    <w:rsid w:val="0085407E"/>
    <w:rsid w:val="009A7740"/>
    <w:rsid w:val="00AF51AF"/>
    <w:rsid w:val="00B4289C"/>
    <w:rsid w:val="00F16326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B4289C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B4289C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2015-06-21T17:12:00Z</dcterms:created>
  <dcterms:modified xsi:type="dcterms:W3CDTF">2015-06-22T13:00:00Z</dcterms:modified>
</cp:coreProperties>
</file>