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B8E" w:rsidRPr="005B36F1" w:rsidRDefault="00F80B8E" w:rsidP="00F71FB8">
      <w:pPr>
        <w:pStyle w:val="1"/>
        <w:widowControl w:val="0"/>
        <w:spacing w:before="0" w:beforeAutospacing="0" w:after="0" w:afterAutospacing="0" w:line="360" w:lineRule="auto"/>
        <w:contextualSpacing/>
        <w:rPr>
          <w:b w:val="0"/>
          <w:sz w:val="28"/>
          <w:szCs w:val="28"/>
          <w:lang w:val="uk-UA"/>
        </w:rPr>
      </w:pPr>
      <w:r w:rsidRPr="005B36F1">
        <w:rPr>
          <w:b w:val="0"/>
          <w:sz w:val="28"/>
          <w:szCs w:val="28"/>
          <w:lang w:val="uk-UA"/>
        </w:rPr>
        <w:t>УДК 342.9</w:t>
      </w:r>
      <w:r w:rsidR="008B0DBE">
        <w:rPr>
          <w:b w:val="0"/>
          <w:sz w:val="28"/>
          <w:szCs w:val="28"/>
          <w:lang w:val="uk-UA"/>
        </w:rPr>
        <w:t>(043.2)</w:t>
      </w:r>
    </w:p>
    <w:p w:rsidR="00D86475" w:rsidRPr="00F80B8E" w:rsidRDefault="00D86475" w:rsidP="00F71FB8">
      <w:pPr>
        <w:widowControl w:val="0"/>
        <w:spacing w:after="0" w:line="360" w:lineRule="auto"/>
        <w:ind w:left="6066" w:hanging="1388"/>
        <w:contextualSpacing/>
        <w:jc w:val="right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proofErr w:type="spellStart"/>
      <w:r w:rsidRPr="00F80B8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К</w:t>
      </w:r>
      <w:bookmarkStart w:id="0" w:name="_GoBack"/>
      <w:bookmarkEnd w:id="0"/>
      <w:r w:rsidRPr="00F80B8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айдаш</w:t>
      </w:r>
      <w:proofErr w:type="spellEnd"/>
      <w:r w:rsidRPr="00F80B8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Л</w:t>
      </w:r>
      <w:r w:rsidR="003E3BCF" w:rsidRPr="00F80B8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.</w:t>
      </w:r>
      <w:r w:rsidRPr="00F80B8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Ю</w:t>
      </w:r>
      <w:r w:rsidR="003E3BCF" w:rsidRPr="00F80B8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.</w:t>
      </w:r>
      <w:r w:rsidR="00F71FB8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, </w:t>
      </w:r>
      <w:r w:rsidR="00433E7D" w:rsidRPr="00433E7D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старший викладач,</w:t>
      </w:r>
    </w:p>
    <w:p w:rsidR="00D86475" w:rsidRPr="00F71FB8" w:rsidRDefault="00D86475" w:rsidP="00F71FB8">
      <w:pPr>
        <w:widowControl w:val="0"/>
        <w:spacing w:after="0" w:line="360" w:lineRule="auto"/>
        <w:ind w:left="1418"/>
        <w:contextualSpacing/>
        <w:jc w:val="right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3E3BC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Національний університет ДПС</w:t>
      </w:r>
      <w:r w:rsidR="00F80B8E" w:rsidRPr="00F80B8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F80B8E" w:rsidRPr="003E3BCF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України</w:t>
      </w:r>
      <w:r w:rsidR="00F71FB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</w:t>
      </w:r>
      <w:r w:rsidR="00F80B8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м.</w:t>
      </w:r>
      <w:r w:rsidR="001825D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F80B8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Ірпінь,</w:t>
      </w:r>
      <w:r w:rsidRPr="003E3BC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F80B8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Україна</w:t>
      </w:r>
    </w:p>
    <w:p w:rsidR="002A112A" w:rsidRPr="00F71FB8" w:rsidRDefault="003E3BCF" w:rsidP="00F71FB8">
      <w:pPr>
        <w:widowControl w:val="0"/>
        <w:spacing w:after="0" w:line="36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1FB8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 ЄВРОПЕЙСЬКОГО СУДУ З ПРАВ ЛЮД</w:t>
      </w:r>
      <w:r w:rsidR="00904ADB"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  <w:r w:rsidRPr="00F71FB8">
        <w:rPr>
          <w:rFonts w:ascii="Times New Roman" w:hAnsi="Times New Roman" w:cs="Times New Roman"/>
          <w:b/>
          <w:bCs/>
          <w:sz w:val="28"/>
          <w:szCs w:val="28"/>
          <w:lang w:val="uk-UA"/>
        </w:rPr>
        <w:t>НИ:</w:t>
      </w:r>
    </w:p>
    <w:p w:rsidR="003E3BCF" w:rsidRPr="00F71FB8" w:rsidRDefault="003E3BCF" w:rsidP="00F71FB8">
      <w:pPr>
        <w:widowControl w:val="0"/>
        <w:spacing w:after="0" w:line="36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1FB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НАУКОВЕ БАЧЕННЯ ПРАВОВОЇ ПР</w:t>
      </w:r>
      <w:r w:rsidR="00D55527" w:rsidRPr="00F71FB8"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  <w:r w:rsidRPr="00F71FB8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РОДИ</w:t>
      </w:r>
    </w:p>
    <w:p w:rsidR="00D86475" w:rsidRPr="00D86475" w:rsidRDefault="00D86475" w:rsidP="00F71FB8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D8647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Серед науковців, які досліджують ознаки, особливості і характер</w:t>
      </w:r>
      <w:r w:rsidR="003E3BC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D8647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рішень </w:t>
      </w:r>
      <w:r w:rsidRPr="00D86475">
        <w:rPr>
          <w:rFonts w:ascii="Times New Roman" w:hAnsi="Times New Roman" w:cs="Times New Roman"/>
          <w:iCs/>
          <w:sz w:val="28"/>
          <w:szCs w:val="28"/>
          <w:lang w:val="uk-UA"/>
        </w:rPr>
        <w:t>Є</w:t>
      </w:r>
      <w:r w:rsidRPr="00D86475">
        <w:rPr>
          <w:rFonts w:ascii="Times New Roman" w:hAnsi="Times New Roman" w:cs="Times New Roman"/>
          <w:iCs/>
          <w:sz w:val="28"/>
          <w:szCs w:val="28"/>
          <w:lang w:val="uk-UA"/>
        </w:rPr>
        <w:t>в</w:t>
      </w:r>
      <w:r w:rsidRPr="00D8647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ропейського </w:t>
      </w:r>
      <w:r w:rsidRPr="00D8647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суду з прав людини існують різні погляди на </w:t>
      </w:r>
      <w:r w:rsidR="003E3BC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їх </w:t>
      </w:r>
      <w:r w:rsidRPr="00D8647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правову природу</w:t>
      </w:r>
      <w:r w:rsidR="003E3BC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</w:t>
      </w:r>
      <w:r w:rsidRPr="00D8647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 основі дискусії</w:t>
      </w:r>
      <w:r w:rsidR="003E3BC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D8647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лежить питання, чи є таке рішення джерелом права</w:t>
      </w:r>
      <w:r w:rsidR="003E3BC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</w:t>
      </w:r>
      <w:r w:rsidRPr="00D8647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Наш закон</w:t>
      </w:r>
      <w:r w:rsidRPr="00D8647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</w:t>
      </w:r>
      <w:r w:rsidRPr="00D8647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давець у ст. 17 Закону України «Про виконання рішень та застосування практики</w:t>
      </w:r>
      <w:r w:rsidRPr="00D8647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Європейського </w:t>
      </w:r>
      <w:r w:rsidRPr="00D8647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суду з прав людини»</w:t>
      </w:r>
      <w:r w:rsidRPr="00D86475">
        <w:rPr>
          <w:rFonts w:ascii="Times New Roman" w:hAnsi="Times New Roman" w:cs="Times New Roman"/>
          <w:bCs/>
          <w:iCs/>
          <w:sz w:val="28"/>
          <w:szCs w:val="28"/>
        </w:rPr>
        <w:t>[1]</w:t>
      </w:r>
      <w:r w:rsidRPr="00D8647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3E3BCF" w:rsidRPr="00D8647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закрепів</w:t>
      </w:r>
      <w:r w:rsidRPr="00D8647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положення про те, що націонал</w:t>
      </w:r>
      <w:r w:rsidRPr="00D8647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ь</w:t>
      </w:r>
      <w:r w:rsidRPr="00D8647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ні суди застосовують при розгляді справ Конвенцію по захисту прав і основоп</w:t>
      </w:r>
      <w:r w:rsidRPr="00D8647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</w:t>
      </w:r>
      <w:r w:rsidRPr="00D8647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ложних свобод (далі - Європейська конвенція) та практику </w:t>
      </w:r>
      <w:r w:rsidRPr="00D8647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Європейського </w:t>
      </w:r>
      <w:r w:rsidRPr="00D8647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суду з прав людини як джерело права.</w:t>
      </w:r>
    </w:p>
    <w:p w:rsidR="00D86475" w:rsidRPr="00D86475" w:rsidRDefault="00D86475" w:rsidP="00F71FB8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D8647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Якщо питання використання правових приписів Європейської конвенції в якості джерела національного права серед вітчизняних науковців немає питань для дискусії, то до цього часу у доктринальній літератури нема однозначного пі</w:t>
      </w:r>
      <w:r w:rsidRPr="00D8647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</w:t>
      </w:r>
      <w:r w:rsidRPr="00D8647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ходу до закріпленого законодавцем положення про те, що практику </w:t>
      </w:r>
      <w:r w:rsidRPr="00D86475">
        <w:rPr>
          <w:rFonts w:ascii="Times New Roman" w:hAnsi="Times New Roman" w:cs="Times New Roman"/>
          <w:iCs/>
          <w:sz w:val="28"/>
          <w:szCs w:val="28"/>
          <w:lang w:val="uk-UA"/>
        </w:rPr>
        <w:t>Європейськ</w:t>
      </w:r>
      <w:r w:rsidRPr="00D86475">
        <w:rPr>
          <w:rFonts w:ascii="Times New Roman" w:hAnsi="Times New Roman" w:cs="Times New Roman"/>
          <w:iCs/>
          <w:sz w:val="28"/>
          <w:szCs w:val="28"/>
          <w:lang w:val="uk-UA"/>
        </w:rPr>
        <w:t>о</w:t>
      </w:r>
      <w:r w:rsidRPr="00D8647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го </w:t>
      </w:r>
      <w:r w:rsidRPr="00D8647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суду слід рахувати як джерело права. </w:t>
      </w:r>
    </w:p>
    <w:p w:rsidR="00D86475" w:rsidRPr="00D86475" w:rsidRDefault="00D86475" w:rsidP="00F71FB8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D8647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Визначаючи по цьому питанню свою дуку Є. Шишкина зазначає, що пошук відповіді на це питання слід вести через аналіз будь-якого з видів у сталій клас</w:t>
      </w:r>
      <w:r w:rsidRPr="00D8647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и</w:t>
      </w:r>
      <w:r w:rsidRPr="00D8647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фікації, зокрема, звичай, прецедент, норма. Досліджуючи це питання слід урах</w:t>
      </w:r>
      <w:r w:rsidRPr="00D8647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</w:t>
      </w:r>
      <w:r w:rsidRPr="00D8647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вувати, що прецедент походить у даному випадку лише із судового рішення, то зрозуміло, що відповідь на запитання, чи є рішення Європейського суду з прав людини джерелом права, можна шукати лише у відповіді – чи є таке рішення пр</w:t>
      </w:r>
      <w:r w:rsidRPr="00D8647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е</w:t>
      </w:r>
      <w:r w:rsidRPr="00D8647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цедентом. [</w:t>
      </w:r>
      <w:r w:rsidRPr="00D86475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Pr="00D86475">
        <w:rPr>
          <w:rFonts w:ascii="Times New Roman" w:hAnsi="Times New Roman" w:cs="Times New Roman"/>
          <w:bCs/>
          <w:iCs/>
          <w:sz w:val="28"/>
          <w:szCs w:val="28"/>
          <w:lang w:val="uk-UA"/>
        </w:rPr>
        <w:t>, с.102].</w:t>
      </w:r>
    </w:p>
    <w:p w:rsidR="00D86475" w:rsidRPr="00D86475" w:rsidRDefault="00D86475" w:rsidP="00F71FB8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D8647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Звертаючись до наукової думки слід відмітити, що британські науковці роз</w:t>
      </w:r>
      <w:r w:rsidRPr="00D8647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</w:t>
      </w:r>
      <w:r w:rsidRPr="00D8647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лядають правову природу рішень </w:t>
      </w:r>
      <w:r w:rsidRPr="00D8647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Європейського </w:t>
      </w:r>
      <w:r w:rsidRPr="00D8647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Суду переважно через призму судового прецеденту в притаманному їм розумінні. </w:t>
      </w:r>
    </w:p>
    <w:p w:rsidR="00D86475" w:rsidRPr="00D86475" w:rsidRDefault="00D86475" w:rsidP="00F71FB8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D8647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Французькі дослідники і російські підходять до аналізу рішень</w:t>
      </w:r>
      <w:r w:rsidRPr="00D8647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Європейськ</w:t>
      </w:r>
      <w:r w:rsidRPr="00D86475">
        <w:rPr>
          <w:rFonts w:ascii="Times New Roman" w:hAnsi="Times New Roman" w:cs="Times New Roman"/>
          <w:iCs/>
          <w:sz w:val="28"/>
          <w:szCs w:val="28"/>
          <w:lang w:val="uk-UA"/>
        </w:rPr>
        <w:t>о</w:t>
      </w:r>
      <w:r w:rsidRPr="00D8647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го </w:t>
      </w:r>
      <w:r w:rsidRPr="00D8647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суду з прав людини через призму доктринального погляду на судову практику,</w:t>
      </w:r>
      <w:r w:rsidR="003E3BC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D8647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що історично склався в країнах континентальної Європи, і за яким судова практ</w:t>
      </w:r>
      <w:r w:rsidRPr="00D8647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и</w:t>
      </w:r>
      <w:r w:rsidRPr="00D86475">
        <w:rPr>
          <w:rFonts w:ascii="Times New Roman" w:hAnsi="Times New Roman" w:cs="Times New Roman"/>
          <w:bCs/>
          <w:iCs/>
          <w:sz w:val="28"/>
          <w:szCs w:val="28"/>
          <w:lang w:val="uk-UA"/>
        </w:rPr>
        <w:lastRenderedPageBreak/>
        <w:t>ка не є джерелом права, про що відмічають у своїй науковій статті Л.</w:t>
      </w:r>
      <w:proofErr w:type="spellStart"/>
      <w:r w:rsidRPr="00D8647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Дешко</w:t>
      </w:r>
      <w:proofErr w:type="spellEnd"/>
      <w:r w:rsidRPr="00D8647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та О.Бондар[3</w:t>
      </w:r>
      <w:r w:rsidRPr="00D86475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D86475">
        <w:rPr>
          <w:rFonts w:ascii="Times New Roman" w:hAnsi="Times New Roman" w:cs="Times New Roman"/>
          <w:bCs/>
          <w:iCs/>
          <w:sz w:val="28"/>
          <w:szCs w:val="28"/>
          <w:lang w:val="en-US"/>
        </w:rPr>
        <w:t>c</w:t>
      </w:r>
      <w:r w:rsidRPr="00D86475">
        <w:rPr>
          <w:rFonts w:ascii="Times New Roman" w:hAnsi="Times New Roman" w:cs="Times New Roman"/>
          <w:bCs/>
          <w:iCs/>
          <w:sz w:val="28"/>
          <w:szCs w:val="28"/>
        </w:rPr>
        <w:t>.77]</w:t>
      </w:r>
      <w:r w:rsidRPr="00D86475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  <w:r w:rsidR="003E3BC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D8647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Зокрема вони</w:t>
      </w:r>
      <w:r w:rsidR="003E3BC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D8647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зазначають, що аналогічної точки зору дотрим</w:t>
      </w:r>
      <w:r w:rsidRPr="00D8647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</w:t>
      </w:r>
      <w:r w:rsidRPr="00D8647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ється і ряд інших українських вчених, які у своїх дослідженнях приходять до в</w:t>
      </w:r>
      <w:r w:rsidRPr="00D8647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и</w:t>
      </w:r>
      <w:r w:rsidRPr="00D8647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сновку, що Європейська конвенція не передбачає юридичних підстав для надання цим рішенням статусу прецеденту в розумінні англійської доктрини. В той же час</w:t>
      </w:r>
      <w:r w:rsidR="003E3BC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D8647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 цьому питанню є і інша</w:t>
      </w:r>
      <w:r w:rsidR="003E3BC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D8647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думку</w:t>
      </w:r>
      <w:r w:rsidR="003E3BC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D8647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українських вчених, зокрема В. </w:t>
      </w:r>
      <w:proofErr w:type="spellStart"/>
      <w:r w:rsidRPr="00D8647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Паліюка</w:t>
      </w:r>
      <w:proofErr w:type="spellEnd"/>
      <w:r w:rsidRPr="00D86475">
        <w:rPr>
          <w:rFonts w:ascii="Times New Roman" w:hAnsi="Times New Roman" w:cs="Times New Roman"/>
          <w:bCs/>
          <w:iCs/>
          <w:sz w:val="28"/>
          <w:szCs w:val="28"/>
          <w:lang w:val="uk-UA"/>
        </w:rPr>
        <w:t>, С. Шевчука, які вважають, що рішення Європейського суду з прав людини по своїй суті є прецедентними[4,</w:t>
      </w:r>
      <w:r w:rsidRPr="00D86475">
        <w:rPr>
          <w:rFonts w:ascii="Times New Roman" w:hAnsi="Times New Roman" w:cs="Times New Roman"/>
          <w:bCs/>
          <w:iCs/>
          <w:sz w:val="28"/>
          <w:szCs w:val="28"/>
          <w:lang w:val="en-US"/>
        </w:rPr>
        <w:t>c</w:t>
      </w:r>
      <w:r w:rsidRPr="00D86475">
        <w:rPr>
          <w:rFonts w:ascii="Times New Roman" w:hAnsi="Times New Roman" w:cs="Times New Roman"/>
          <w:bCs/>
          <w:iCs/>
          <w:sz w:val="28"/>
          <w:szCs w:val="28"/>
          <w:lang w:val="uk-UA"/>
        </w:rPr>
        <w:t>.78].</w:t>
      </w:r>
      <w:r w:rsidR="003E3BC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D86475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D86475" w:rsidRPr="00D86475" w:rsidRDefault="00D86475" w:rsidP="00F71FB8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D8647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 Європі, там де існує континентальна система правова, питання застосува</w:t>
      </w:r>
      <w:r w:rsidRPr="00D8647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</w:t>
      </w:r>
      <w:r w:rsidRPr="00D8647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ня рішень Європейського суду з прав людини вирішується в сенсі того, що пра</w:t>
      </w:r>
      <w:r w:rsidRPr="00D8647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</w:t>
      </w:r>
      <w:r w:rsidRPr="00D8647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тика Суду є своєрідним тлумаченням правових приписів Європейської конвенції, з виділенням сутності їх положень. Таке тлумачення полегшує безпосереднє</w:t>
      </w:r>
      <w:r w:rsidR="003E3BC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D8647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</w:t>
      </w:r>
      <w:r w:rsidRPr="00D8647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</w:t>
      </w:r>
      <w:r w:rsidRPr="00D8647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стосування норм Європейської конвенції, інакше</w:t>
      </w:r>
      <w:r w:rsidRPr="00D86475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Pr="00D8647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кажучи</w:t>
      </w:r>
      <w:r w:rsidR="003E3BC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D8647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рішення по</w:t>
      </w:r>
      <w:r w:rsidR="003E3BC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D8647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справах </w:t>
      </w:r>
      <w:proofErr w:type="spellStart"/>
      <w:r w:rsidRPr="00D8647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ро</w:t>
      </w:r>
      <w:r w:rsidRPr="00D8647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</w:t>
      </w:r>
      <w:r w:rsidRPr="00D8647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глядаємих</w:t>
      </w:r>
      <w:proofErr w:type="spellEnd"/>
      <w:r w:rsidRPr="00D8647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Європейським судом з прав</w:t>
      </w:r>
      <w:r w:rsidRPr="00D86475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Pr="00D8647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людини офіційно не вважаються прецеде</w:t>
      </w:r>
      <w:r w:rsidRPr="00D8647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</w:t>
      </w:r>
      <w:r w:rsidRPr="00D8647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тами,</w:t>
      </w:r>
      <w:r w:rsidR="003E3BC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D8647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але є єдиним джерелом процесуального тлумачення Європейської конвенції. </w:t>
      </w:r>
    </w:p>
    <w:p w:rsidR="003E3BCF" w:rsidRDefault="00D86475" w:rsidP="00F71FB8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D8647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Відносно розгляду цього питання Л. Тимченко зазначає, що формулювання ст. 17 Закону України «Про виконання рішень та застосування</w:t>
      </w:r>
      <w:r w:rsidRPr="00D8647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практики Європе</w:t>
      </w:r>
      <w:r w:rsidRPr="00D86475">
        <w:rPr>
          <w:rFonts w:ascii="Times New Roman" w:hAnsi="Times New Roman" w:cs="Times New Roman"/>
          <w:iCs/>
          <w:sz w:val="28"/>
          <w:szCs w:val="28"/>
          <w:lang w:val="uk-UA"/>
        </w:rPr>
        <w:t>й</w:t>
      </w:r>
      <w:r w:rsidRPr="00D8647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ського </w:t>
      </w:r>
      <w:r w:rsidRPr="00D8647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суду з прав людини» щодо використання практики Суду як джерела права, на його думку,</w:t>
      </w:r>
      <w:r w:rsidR="003E3BC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D8647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є некоректним, оскільки положення зазначеного Закону дають пі</w:t>
      </w:r>
      <w:r w:rsidRPr="00D8647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</w:t>
      </w:r>
      <w:r w:rsidRPr="00D8647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ставу стверджувати, що Європейський суд з прав людини творить право, а це не відповідає дійсності. Мабуть було б доцільніше застосувати редакцію: «джерелом тлумачення права»</w:t>
      </w:r>
      <w:r w:rsidRPr="00D86475">
        <w:rPr>
          <w:rFonts w:ascii="Times New Roman" w:hAnsi="Times New Roman" w:cs="Times New Roman"/>
          <w:bCs/>
          <w:iCs/>
          <w:sz w:val="28"/>
          <w:szCs w:val="28"/>
        </w:rPr>
        <w:t>[5]</w:t>
      </w:r>
      <w:r w:rsidRPr="00D86475">
        <w:rPr>
          <w:rFonts w:ascii="Times New Roman" w:hAnsi="Times New Roman" w:cs="Times New Roman"/>
          <w:bCs/>
          <w:iCs/>
          <w:sz w:val="28"/>
          <w:szCs w:val="28"/>
          <w:lang w:val="uk-UA"/>
        </w:rPr>
        <w:t>. Такої ж думки по цьому питанню дотримуються і автори Науково – практичного коментаря законів України: «Про державну виконавчу службу», «Про виконавче провадження», «Про виконання рішень та практики з</w:t>
      </w:r>
      <w:r w:rsidRPr="00D8647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</w:t>
      </w:r>
      <w:r w:rsidRPr="00D8647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стосування</w:t>
      </w:r>
      <w:r w:rsidRPr="00D8647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Європейського </w:t>
      </w:r>
      <w:r w:rsidRPr="00D8647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суду з прав людини», зокрема вони зазначають «... не зовсім коректним послатися на теоретичне поняття «джерело права», оскільки в такому разі слід його розкривати»</w:t>
      </w:r>
      <w:r w:rsidR="003E3BCF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D86475" w:rsidRPr="00D86475" w:rsidRDefault="00F71FB8" w:rsidP="00F71FB8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Т</w:t>
      </w:r>
      <w:r w:rsidR="00D86475" w:rsidRPr="00D8647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аким чином стосовно рішень Європейського суду з прав людини,</w:t>
      </w:r>
      <w:r w:rsidR="003E3BC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86475" w:rsidRPr="00D8647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можна в</w:t>
      </w:r>
      <w:r w:rsidR="00D86475" w:rsidRPr="00D8647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е</w:t>
      </w:r>
      <w:r w:rsidR="00D86475" w:rsidRPr="00D8647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сти мову не про створення Судом правових прецедентів, що містять нові правові приписи,</w:t>
      </w:r>
      <w:r w:rsidR="003E3BC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86475" w:rsidRPr="00D8647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мова повинна йти тільки про</w:t>
      </w:r>
      <w:r w:rsidR="003E3BC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86475" w:rsidRPr="00D8647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створення прецедентів тлумачення Судом правових приписів Конвенції про захист прав людини і основоположних свобод. </w:t>
      </w:r>
    </w:p>
    <w:p w:rsidR="00D86475" w:rsidRPr="00D86475" w:rsidRDefault="00D86475" w:rsidP="00F71FB8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D86475">
        <w:rPr>
          <w:rFonts w:ascii="Times New Roman" w:hAnsi="Times New Roman" w:cs="Times New Roman"/>
          <w:bCs/>
          <w:iCs/>
          <w:sz w:val="28"/>
          <w:szCs w:val="28"/>
          <w:lang w:val="uk-UA"/>
        </w:rPr>
        <w:lastRenderedPageBreak/>
        <w:t>Європейський суду з прав людини</w:t>
      </w:r>
      <w:r w:rsidR="003E3BC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D8647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 своїй практиці дотримується не самого прецеденту, він ставить відповідні правові питання та відповідає на них у процесі тлумачення Європейської конвенції.</w:t>
      </w:r>
      <w:r w:rsidR="003E3BC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</w:p>
    <w:p w:rsidR="00D86475" w:rsidRPr="00F71FB8" w:rsidRDefault="00D86475" w:rsidP="00F71FB8">
      <w:pPr>
        <w:widowControl w:val="0"/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F71FB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Література</w:t>
      </w:r>
    </w:p>
    <w:p w:rsidR="00D86475" w:rsidRPr="00D86475" w:rsidRDefault="00D86475" w:rsidP="00F71FB8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6475">
        <w:rPr>
          <w:rFonts w:ascii="Times New Roman" w:hAnsi="Times New Roman" w:cs="Times New Roman"/>
          <w:bCs/>
          <w:iCs/>
          <w:sz w:val="28"/>
          <w:szCs w:val="28"/>
          <w:lang w:val="uk-UA"/>
        </w:rPr>
        <w:t>1.Про виконання рішень та застосування практики</w:t>
      </w:r>
      <w:r w:rsidRPr="00D8647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Європейського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с</w:t>
      </w:r>
      <w:r w:rsidRPr="00D8647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уду з прав людини: Закону України від 23 лютого 2006 року // Відомості Верховної Ради України . – 2006.- № 30. –Ст.206.</w:t>
      </w:r>
    </w:p>
    <w:p w:rsidR="00D86475" w:rsidRPr="00D86475" w:rsidRDefault="00D86475" w:rsidP="00F71FB8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D86475">
        <w:rPr>
          <w:rFonts w:ascii="Times New Roman" w:hAnsi="Times New Roman" w:cs="Times New Roman"/>
          <w:bCs/>
          <w:iCs/>
          <w:sz w:val="28"/>
          <w:szCs w:val="28"/>
        </w:rPr>
        <w:t>2.Шишкина Є</w:t>
      </w:r>
      <w:r w:rsidRPr="00D86475">
        <w:rPr>
          <w:rFonts w:ascii="Times New Roman" w:hAnsi="Times New Roman" w:cs="Times New Roman"/>
          <w:bCs/>
          <w:iCs/>
          <w:sz w:val="28"/>
          <w:szCs w:val="28"/>
          <w:lang w:val="uk-UA"/>
        </w:rPr>
        <w:t>. Деякі аспекти правової природи</w:t>
      </w:r>
      <w:r w:rsidRPr="00D8647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Європейського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с</w:t>
      </w:r>
      <w:r w:rsidRPr="00D8647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уду з прав людини //Право України. -2005. - №4. –С. 102 – 104.</w:t>
      </w:r>
    </w:p>
    <w:p w:rsidR="00D86475" w:rsidRPr="00D86475" w:rsidRDefault="00D86475" w:rsidP="00F71FB8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D8647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3.Дешко Л., Бондар О. Правова природа рішень </w:t>
      </w:r>
      <w:r w:rsidRPr="00D8647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Європейського </w:t>
      </w:r>
      <w:r w:rsidR="003339AA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су</w:t>
      </w:r>
      <w:r w:rsidR="003339AA" w:rsidRPr="00D8647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ду</w:t>
      </w:r>
      <w:r w:rsidRPr="00D8647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 прав людини //Правовий часопис Донецького університету. – 2008. №2.С.77</w:t>
      </w:r>
    </w:p>
    <w:p w:rsidR="00D86475" w:rsidRPr="00D86475" w:rsidRDefault="00D86475" w:rsidP="00F71FB8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D86475">
        <w:rPr>
          <w:rFonts w:ascii="Times New Roman" w:hAnsi="Times New Roman" w:cs="Times New Roman"/>
          <w:bCs/>
          <w:iCs/>
          <w:sz w:val="28"/>
          <w:szCs w:val="28"/>
          <w:lang w:val="uk-UA"/>
        </w:rPr>
        <w:t>4. Там ж. С. 78.</w:t>
      </w:r>
    </w:p>
    <w:p w:rsidR="00D86475" w:rsidRPr="00D86475" w:rsidRDefault="00D86475" w:rsidP="00F71FB8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D86475">
        <w:rPr>
          <w:rFonts w:ascii="Times New Roman" w:hAnsi="Times New Roman" w:cs="Times New Roman"/>
          <w:bCs/>
          <w:iCs/>
          <w:sz w:val="28"/>
          <w:szCs w:val="28"/>
          <w:lang w:val="uk-UA"/>
        </w:rPr>
        <w:t>5.Цит. Там ж .С.78.</w:t>
      </w:r>
    </w:p>
    <w:p w:rsidR="00D86475" w:rsidRPr="00D86475" w:rsidRDefault="00D86475" w:rsidP="00F71FB8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6475">
        <w:rPr>
          <w:rFonts w:ascii="Times New Roman" w:hAnsi="Times New Roman" w:cs="Times New Roman"/>
          <w:bCs/>
          <w:iCs/>
          <w:sz w:val="28"/>
          <w:szCs w:val="28"/>
          <w:lang w:val="uk-UA"/>
        </w:rPr>
        <w:t>6. Науково – практичний коментар законів України: «Про державну викона</w:t>
      </w:r>
      <w:r w:rsidRPr="00D8647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</w:t>
      </w:r>
      <w:r w:rsidRPr="00D8647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чу службу», «Про виконавче провадження», «Про виконання рішень та практики застосування</w:t>
      </w:r>
      <w:r w:rsidRPr="00D8647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Європейського </w:t>
      </w:r>
      <w:r w:rsidRPr="00D8647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суду з прав </w:t>
      </w:r>
      <w:proofErr w:type="spellStart"/>
      <w:r w:rsidRPr="00D8647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людини»-</w:t>
      </w:r>
      <w:proofErr w:type="spellEnd"/>
      <w:r w:rsidRPr="00D8647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К.: </w:t>
      </w:r>
      <w:proofErr w:type="spellStart"/>
      <w:r w:rsidRPr="00D8647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вид.КНТ</w:t>
      </w:r>
      <w:proofErr w:type="spellEnd"/>
      <w:r w:rsidRPr="00D8647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– 2008. </w:t>
      </w:r>
    </w:p>
    <w:p w:rsidR="0002539C" w:rsidRPr="00D86475" w:rsidRDefault="0002539C" w:rsidP="00F71FB8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2539C" w:rsidRPr="00D86475" w:rsidSect="00F71FB8"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964" w:rsidRDefault="001F7964" w:rsidP="00D86475">
      <w:pPr>
        <w:spacing w:after="0" w:line="240" w:lineRule="auto"/>
      </w:pPr>
      <w:r>
        <w:separator/>
      </w:r>
    </w:p>
  </w:endnote>
  <w:endnote w:type="continuationSeparator" w:id="0">
    <w:p w:rsidR="001F7964" w:rsidRDefault="001F7964" w:rsidP="00D86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964" w:rsidRDefault="001F7964" w:rsidP="00D86475">
      <w:pPr>
        <w:spacing w:after="0" w:line="240" w:lineRule="auto"/>
      </w:pPr>
      <w:r>
        <w:separator/>
      </w:r>
    </w:p>
  </w:footnote>
  <w:footnote w:type="continuationSeparator" w:id="0">
    <w:p w:rsidR="001F7964" w:rsidRDefault="001F7964" w:rsidP="00D864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75"/>
    <w:rsid w:val="0002539C"/>
    <w:rsid w:val="00047E56"/>
    <w:rsid w:val="000514E4"/>
    <w:rsid w:val="000A6AE6"/>
    <w:rsid w:val="000D2D47"/>
    <w:rsid w:val="001825D3"/>
    <w:rsid w:val="001F7964"/>
    <w:rsid w:val="001F7D92"/>
    <w:rsid w:val="002A112A"/>
    <w:rsid w:val="003339AA"/>
    <w:rsid w:val="003A5396"/>
    <w:rsid w:val="003D146B"/>
    <w:rsid w:val="003E3BCF"/>
    <w:rsid w:val="00433E7D"/>
    <w:rsid w:val="004721DB"/>
    <w:rsid w:val="006645B7"/>
    <w:rsid w:val="0074406B"/>
    <w:rsid w:val="007F65D1"/>
    <w:rsid w:val="00873578"/>
    <w:rsid w:val="00886C64"/>
    <w:rsid w:val="008B0DBE"/>
    <w:rsid w:val="00904ADB"/>
    <w:rsid w:val="00A854E1"/>
    <w:rsid w:val="00CA51FE"/>
    <w:rsid w:val="00D55527"/>
    <w:rsid w:val="00D86475"/>
    <w:rsid w:val="00F71FB8"/>
    <w:rsid w:val="00F8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0B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6475"/>
  </w:style>
  <w:style w:type="paragraph" w:styleId="a5">
    <w:name w:val="footer"/>
    <w:basedOn w:val="a"/>
    <w:link w:val="a6"/>
    <w:uiPriority w:val="99"/>
    <w:unhideWhenUsed/>
    <w:rsid w:val="00D86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6475"/>
  </w:style>
  <w:style w:type="paragraph" w:styleId="a7">
    <w:name w:val="Balloon Text"/>
    <w:basedOn w:val="a"/>
    <w:link w:val="a8"/>
    <w:uiPriority w:val="99"/>
    <w:semiHidden/>
    <w:unhideWhenUsed/>
    <w:rsid w:val="00A8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54E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80B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0B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6475"/>
  </w:style>
  <w:style w:type="paragraph" w:styleId="a5">
    <w:name w:val="footer"/>
    <w:basedOn w:val="a"/>
    <w:link w:val="a6"/>
    <w:uiPriority w:val="99"/>
    <w:unhideWhenUsed/>
    <w:rsid w:val="00D86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6475"/>
  </w:style>
  <w:style w:type="paragraph" w:styleId="a7">
    <w:name w:val="Balloon Text"/>
    <w:basedOn w:val="a"/>
    <w:link w:val="a8"/>
    <w:uiPriority w:val="99"/>
    <w:semiHidden/>
    <w:unhideWhenUsed/>
    <w:rsid w:val="00A8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54E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80B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Admin</cp:lastModifiedBy>
  <cp:revision>4</cp:revision>
  <dcterms:created xsi:type="dcterms:W3CDTF">2015-02-13T10:12:00Z</dcterms:created>
  <dcterms:modified xsi:type="dcterms:W3CDTF">2015-02-13T11:15:00Z</dcterms:modified>
</cp:coreProperties>
</file>