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59" w:rsidRPr="006744D4" w:rsidRDefault="00F93559" w:rsidP="00F93559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  <w:r w:rsidRPr="006744D4">
        <w:rPr>
          <w:rFonts w:ascii="Times New Roman" w:hAnsi="Times New Roman"/>
          <w:caps/>
          <w:sz w:val="28"/>
          <w:szCs w:val="28"/>
          <w:lang w:val="uk-UA"/>
        </w:rPr>
        <w:t xml:space="preserve">УДК </w:t>
      </w:r>
      <w:r w:rsidR="005A30D0" w:rsidRPr="006744D4">
        <w:rPr>
          <w:rFonts w:ascii="Times New Roman" w:hAnsi="Times New Roman" w:cs="Times New Roman"/>
          <w:sz w:val="28"/>
          <w:szCs w:val="28"/>
          <w:lang w:val="uk-UA"/>
        </w:rPr>
        <w:t>347. 67 (477)</w:t>
      </w:r>
      <w:r w:rsidRPr="006744D4">
        <w:rPr>
          <w:rFonts w:ascii="Times New Roman" w:hAnsi="Times New Roman"/>
          <w:caps/>
          <w:sz w:val="28"/>
          <w:szCs w:val="28"/>
          <w:lang w:val="uk-UA"/>
        </w:rPr>
        <w:t xml:space="preserve">                                                     </w:t>
      </w:r>
    </w:p>
    <w:p w:rsidR="00F93559" w:rsidRPr="006744D4" w:rsidRDefault="00F93559" w:rsidP="00F935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744D4">
        <w:rPr>
          <w:rFonts w:ascii="Times New Roman" w:hAnsi="Times New Roman"/>
          <w:b/>
          <w:sz w:val="28"/>
          <w:szCs w:val="28"/>
          <w:lang w:val="uk-UA"/>
        </w:rPr>
        <w:t>Троцюк</w:t>
      </w:r>
      <w:proofErr w:type="spellEnd"/>
      <w:r w:rsidRPr="006744D4">
        <w:rPr>
          <w:rFonts w:ascii="Times New Roman" w:hAnsi="Times New Roman"/>
          <w:b/>
          <w:sz w:val="28"/>
          <w:szCs w:val="28"/>
          <w:lang w:val="uk-UA"/>
        </w:rPr>
        <w:t xml:space="preserve"> Н.В.</w:t>
      </w:r>
    </w:p>
    <w:p w:rsidR="00F93559" w:rsidRPr="006744D4" w:rsidRDefault="00F93559" w:rsidP="00F935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744D4">
        <w:rPr>
          <w:rFonts w:ascii="Times New Roman" w:hAnsi="Times New Roman"/>
          <w:sz w:val="28"/>
          <w:szCs w:val="28"/>
          <w:lang w:val="uk-UA"/>
        </w:rPr>
        <w:t>асистент,</w:t>
      </w:r>
    </w:p>
    <w:p w:rsidR="00F93559" w:rsidRPr="006744D4" w:rsidRDefault="00F93559" w:rsidP="00F935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744D4">
        <w:rPr>
          <w:rFonts w:ascii="Times New Roman" w:hAnsi="Times New Roman"/>
          <w:sz w:val="28"/>
          <w:szCs w:val="28"/>
          <w:lang w:val="uk-UA"/>
        </w:rPr>
        <w:t>Юридичний інститут,</w:t>
      </w:r>
    </w:p>
    <w:p w:rsidR="00F93559" w:rsidRPr="006744D4" w:rsidRDefault="00F93559" w:rsidP="00F9355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  <w:lang w:val="uk-UA"/>
        </w:rPr>
      </w:pPr>
      <w:r w:rsidRPr="006744D4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університет, м. Київ</w:t>
      </w:r>
    </w:p>
    <w:p w:rsidR="00F93559" w:rsidRPr="006744D4" w:rsidRDefault="00F93559" w:rsidP="000A1B8A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6664F" w:rsidRDefault="0056664F" w:rsidP="0056664F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aps/>
          <w:sz w:val="28"/>
          <w:szCs w:val="28"/>
          <w:lang w:val="uk-UA"/>
        </w:rPr>
        <w:t>суб</w:t>
      </w:r>
      <w:proofErr w:type="spellEnd"/>
      <w:r w:rsidRPr="0056664F">
        <w:rPr>
          <w:rFonts w:ascii="Times New Roman" w:hAnsi="Times New Roman"/>
          <w:b/>
          <w:caps/>
          <w:sz w:val="28"/>
          <w:szCs w:val="28"/>
        </w:rPr>
        <w:t>’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єкти спадкових відносин</w:t>
      </w:r>
      <w:r w:rsidRPr="0056664F">
        <w:rPr>
          <w:rFonts w:ascii="Times New Roman" w:hAnsi="Times New Roman"/>
          <w:b/>
          <w:caps/>
          <w:sz w:val="28"/>
          <w:szCs w:val="28"/>
        </w:rPr>
        <w:t>: Проблеми</w:t>
      </w:r>
    </w:p>
    <w:p w:rsidR="000A1B8A" w:rsidRPr="0056664F" w:rsidRDefault="0056664F" w:rsidP="0056664F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6664F">
        <w:rPr>
          <w:rFonts w:ascii="Times New Roman" w:hAnsi="Times New Roman"/>
          <w:b/>
          <w:caps/>
          <w:sz w:val="28"/>
          <w:szCs w:val="28"/>
        </w:rPr>
        <w:t>теорії і практики</w:t>
      </w:r>
    </w:p>
    <w:p w:rsidR="0056664F" w:rsidRDefault="00251E38" w:rsidP="0056664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NewRoman"/>
          <w:sz w:val="28"/>
          <w:szCs w:val="28"/>
          <w:lang w:val="uk-UA"/>
        </w:rPr>
      </w:pPr>
      <w:r w:rsidRPr="006744D4">
        <w:rPr>
          <w:rFonts w:ascii="Times New Roman" w:hAnsi="Times New Roman" w:cs="TimesNewRoman"/>
          <w:sz w:val="28"/>
          <w:szCs w:val="28"/>
          <w:lang w:val="uk-UA"/>
        </w:rPr>
        <w:t>Одним із найважливіших інститутів цивільного права є інститут спадкового права</w:t>
      </w:r>
      <w:r w:rsidRPr="006744D4">
        <w:rPr>
          <w:rFonts w:ascii="Times New Roman" w:hAnsi="Times New Roman" w:cs="Times New Roman"/>
          <w:sz w:val="28"/>
          <w:szCs w:val="28"/>
          <w:lang w:val="uk-UA"/>
        </w:rPr>
        <w:t>, який зосереджує в собі сукупність норм, покликаних юридично забезпечувати наступництво в правах та обов’язках фізичної особи</w:t>
      </w:r>
      <w:r w:rsidR="006744D4" w:rsidRPr="006744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44D4">
        <w:rPr>
          <w:rFonts w:ascii="Times New Roman" w:hAnsi="Times New Roman" w:cs="Times New Roman"/>
          <w:sz w:val="28"/>
          <w:szCs w:val="28"/>
          <w:lang w:val="uk-UA"/>
        </w:rPr>
        <w:t xml:space="preserve">спадкодавця. </w:t>
      </w:r>
      <w:r w:rsidR="00755598" w:rsidRPr="006744D4">
        <w:rPr>
          <w:rFonts w:ascii="Times New Roman" w:hAnsi="Times New Roman" w:cs="TimesNewRoman"/>
          <w:sz w:val="28"/>
          <w:szCs w:val="28"/>
          <w:lang w:val="uk-UA"/>
        </w:rPr>
        <w:t xml:space="preserve">Останніми роками значення спадкового права як регулятора механізму правонаступництва викликано, передусім, збільшенням кількості об’єктів, які можуть перебувати у власності фізичної особи, а відтак переходити у спадщину у разі настання юридичного факту </w:t>
      </w:r>
      <w:r w:rsidR="00AE3294" w:rsidRPr="006744D4">
        <w:rPr>
          <w:rFonts w:ascii="Times New Roman" w:hAnsi="Times New Roman" w:cs="TimesNewRoman"/>
          <w:sz w:val="28"/>
          <w:szCs w:val="28"/>
          <w:lang w:val="uk-UA"/>
        </w:rPr>
        <w:t xml:space="preserve">- </w:t>
      </w:r>
      <w:r w:rsidR="00755598" w:rsidRPr="006744D4">
        <w:rPr>
          <w:rFonts w:ascii="Times New Roman" w:hAnsi="Times New Roman" w:cs="TimesNewRoman"/>
          <w:sz w:val="28"/>
          <w:szCs w:val="28"/>
          <w:lang w:val="uk-UA"/>
        </w:rPr>
        <w:t>смерті фізичної особи.</w:t>
      </w:r>
      <w:r w:rsidR="00AE3294" w:rsidRPr="006744D4">
        <w:rPr>
          <w:rFonts w:ascii="Times New Roman" w:hAnsi="Times New Roman" w:cs="TimesNewRoman"/>
          <w:sz w:val="28"/>
          <w:szCs w:val="28"/>
          <w:lang w:val="uk-UA"/>
        </w:rPr>
        <w:t xml:space="preserve"> </w:t>
      </w:r>
      <w:r w:rsidR="0056664F">
        <w:rPr>
          <w:rFonts w:ascii="Times New Roman" w:hAnsi="Times New Roman" w:cs="TimesNewRoman"/>
          <w:sz w:val="28"/>
          <w:szCs w:val="28"/>
          <w:lang w:val="uk-UA"/>
        </w:rPr>
        <w:t>Усе вище викладене свідчить про зростаючий інтерес до правового регулювання спадкових відносин.</w:t>
      </w:r>
    </w:p>
    <w:p w:rsidR="00251E38" w:rsidRPr="006744D4" w:rsidRDefault="00021241" w:rsidP="00F9355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4D4">
        <w:rPr>
          <w:rFonts w:ascii="Times New Roman" w:hAnsi="Times New Roman" w:cs="TimesNewRoman"/>
          <w:sz w:val="28"/>
          <w:szCs w:val="28"/>
          <w:lang w:val="uk-UA"/>
        </w:rPr>
        <w:t>Цивільний кодекс України змінив підхід до волевиявлення заповідача і по іншому окреслив йо</w:t>
      </w:r>
      <w:r w:rsidR="00B70C7B" w:rsidRPr="006744D4">
        <w:rPr>
          <w:rFonts w:ascii="Times New Roman" w:hAnsi="Times New Roman" w:cs="TimesNewRoman"/>
          <w:sz w:val="28"/>
          <w:szCs w:val="28"/>
          <w:lang w:val="uk-UA"/>
        </w:rPr>
        <w:t>го місце у спадкових відносинах, а також закріпив легальне визначення заповіту.</w:t>
      </w:r>
      <w:r w:rsidR="00704492" w:rsidRPr="00674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492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251E38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 1</w:t>
      </w:r>
      <w:r w:rsidR="00704492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233  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ЦК</w:t>
      </w:r>
      <w:r w:rsidR="00704492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заповітом є особисте розпорядження фізичної особи на випадок своєї смерті</w:t>
      </w:r>
      <w:r w:rsidR="00A8475E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[1]</w:t>
      </w:r>
      <w:r w:rsidR="00704492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51E38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 юридичну категорію необхідно розглядати у двох аспектах:</w:t>
      </w:r>
    </w:p>
    <w:p w:rsidR="00251E38" w:rsidRPr="006744D4" w:rsidRDefault="00251E38" w:rsidP="00F93559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об’єктивному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704492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сукупність юридичних норм, які надають певній особі можливість розпорядитися власним майном на випадок своєї смерті</w:t>
      </w:r>
      <w:r w:rsidR="006744D4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4492" w:rsidRPr="006744D4" w:rsidRDefault="00251E38" w:rsidP="00F93559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суб’єктивному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704492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встановлена законом можливість певної особи складати заповіт. Отже, складання заповіту – це не обов’язок вищеназваної особи, а її право</w:t>
      </w:r>
      <w:r w:rsidR="00E21C83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[2, с. 77]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24491" w:rsidRPr="006744D4" w:rsidRDefault="00704492" w:rsidP="00F9355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юридичній науці особу, яка має право на заповіт, прийнято називати заповідачем. За Ц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ивільним кодексом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право на</w:t>
      </w:r>
      <w:r w:rsidR="00024491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заповіт має фізична особа з по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вною цивільною дієздатністю на момент складання заповіту, а не до чи після вчинення цього діяння.  Згі</w:t>
      </w:r>
      <w:r w:rsidR="00251E38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дно з ч. 1 ст. 34 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ЦК</w:t>
      </w:r>
      <w:r w:rsidR="000A1B8A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251E38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повну цивільну дієздатність набуває та фізична особа, яка досягла вісімнадцяти років (повноліття). </w:t>
      </w:r>
      <w:r w:rsidR="00024491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 існують певні винятки з цього правила. Зокрема, </w:t>
      </w:r>
      <w:r w:rsidR="00024491" w:rsidRPr="006744D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носіями повної цивільної дієздатності крім повнолітньої фізичної особи можуть стати: </w:t>
      </w:r>
    </w:p>
    <w:p w:rsidR="00024491" w:rsidRPr="006744D4" w:rsidRDefault="00024491" w:rsidP="00F93559">
      <w:pPr>
        <w:numPr>
          <w:ilvl w:val="0"/>
          <w:numId w:val="2"/>
        </w:numPr>
        <w:tabs>
          <w:tab w:val="num" w:pos="0"/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неповнолітня фізична особа, яка зареєструвала шлюб (п. 1 ч. 2 ст. 34 ЦК України);</w:t>
      </w:r>
    </w:p>
    <w:p w:rsidR="00024491" w:rsidRPr="006744D4" w:rsidRDefault="00024491" w:rsidP="00F93559">
      <w:pPr>
        <w:numPr>
          <w:ilvl w:val="0"/>
          <w:numId w:val="2"/>
        </w:numPr>
        <w:tabs>
          <w:tab w:val="num" w:pos="0"/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особа, яка досягла шістнадцятирічного віку і працює за трудовим договором (п. 1 ч. 1 ст. 35 ЦК України);</w:t>
      </w:r>
    </w:p>
    <w:p w:rsidR="00354127" w:rsidRPr="006744D4" w:rsidRDefault="00024491" w:rsidP="00F93559">
      <w:pPr>
        <w:numPr>
          <w:ilvl w:val="0"/>
          <w:numId w:val="2"/>
        </w:numPr>
        <w:tabs>
          <w:tab w:val="num" w:pos="0"/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неповнолітня фізична особа, яка записана батьком або матір’ю дитини (п. 2 ч. 1 ст. 35 ЦК України);</w:t>
      </w:r>
    </w:p>
    <w:p w:rsidR="00354127" w:rsidRPr="006744D4" w:rsidRDefault="00024491" w:rsidP="00F93559">
      <w:pPr>
        <w:numPr>
          <w:ilvl w:val="0"/>
          <w:numId w:val="2"/>
        </w:numPr>
        <w:tabs>
          <w:tab w:val="num" w:pos="0"/>
          <w:tab w:val="left" w:pos="567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особа, яка досягла шістнадцятирічного віку і бажає займатися підприємницькою діяльністю (п. 1 ч. 3 ст. 35 ЦК України)</w:t>
      </w:r>
      <w:r w:rsidR="00E21C83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AA740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1]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54127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4491" w:rsidRPr="006744D4" w:rsidRDefault="00354127" w:rsidP="00F9355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Думку про те, що право на заповіт має неповнолітня особа, яка в установленому порядку набула повну цивільну дієздатність, висловлено 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17 Постанови Пленуму Верховного Суду України № 7 від 30 квітня 2008 р. «Про судову практику у справах про спадкування» [</w:t>
      </w:r>
      <w:r w:rsidR="00AA740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D051A0" w:rsidRPr="006744D4" w:rsidRDefault="00024491" w:rsidP="00F9355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По-різному в цивільно-правовій літературі висвітлюється також питання про можливість складання заповіту частково дієздатною особою та осо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бою, яка за рішенням суду обмежена у дієздатності. Одні вчені взагалі виключають можливість складання з</w:t>
      </w:r>
      <w:r w:rsidR="006D470B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аповіту такими особами, інші ж 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допускають. Так, </w:t>
      </w:r>
      <w:r w:rsidR="006D470B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Чуйкова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вважає, що оскільки «право заповідати» є складовою поняття «розпорядження», то неповнолітні особи віком від 14 до 18 років мають заповідальну дієздатність стосовно конкретно визначеного майна, а саме: грошей, джерелом яких є їхній особистий заробіток або стипендія, а також гонорари автора об’єкт</w:t>
      </w:r>
      <w:r w:rsidR="00E21C83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інтелектуальної власності [</w:t>
      </w:r>
      <w:r w:rsidR="00AA740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 10]. Ю.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Заіка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зазначає, що не можна вважати виправданим позбав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лення права на складання заповіту осіб, обмежених у дієздатності за рішенням суду, оскільки складанням заповіту обмежено дієздатний не погіршує майн</w:t>
      </w:r>
      <w:r w:rsidR="00E21C83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ове становище своїх близьких </w:t>
      </w:r>
      <w:r w:rsidR="005A30D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21C83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AA740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 85].</w:t>
      </w:r>
    </w:p>
    <w:p w:rsidR="002E57D0" w:rsidRPr="006744D4" w:rsidRDefault="00354127" w:rsidP="00F9355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Також, ч</w:t>
      </w:r>
      <w:r w:rsidR="0095714A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инне законодавство регламентує, </w:t>
      </w:r>
      <w:r w:rsidR="002E57D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заповідач має бути дієздатним на мо</w:t>
      </w:r>
      <w:r w:rsidR="002E57D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мент складання заповіту. Втрата дієз</w:t>
      </w:r>
      <w:r w:rsidR="0095714A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датності заповідачем після скла</w:t>
      </w:r>
      <w:r w:rsidR="002E57D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дання заповіту не впливає на дійсність заповіту.</w:t>
      </w:r>
    </w:p>
    <w:p w:rsidR="002E57D0" w:rsidRPr="006744D4" w:rsidRDefault="002E57D0" w:rsidP="00F9355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на заповіт здійснюється заповідачем особисто. Однак</w:t>
      </w:r>
      <w:r w:rsidR="006D470B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ЦК 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не забороняє складання так </w:t>
      </w:r>
      <w:r w:rsidR="006D470B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званого спільного заповіту. Від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повідно до ст. 1243 ЦК України подружжя має право скласти спільний заповіт щодо майна, яке належить йому на праві спільної сумісної власності. Слід погодитися з С.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Фурсою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тут має місце узгоджен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 волі, тобто особисте волевиявлення кожного із подружжя «злива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ється» в одне волевиявл</w:t>
      </w:r>
      <w:r w:rsidR="00D051A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[</w:t>
      </w:r>
      <w:r w:rsidR="00AA740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24C4E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56].</w:t>
      </w:r>
    </w:p>
    <w:p w:rsidR="000A1B8A" w:rsidRPr="00BF1AC4" w:rsidRDefault="0095714A" w:rsidP="00BF1AC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hAnsi="Times New Roman"/>
          <w:sz w:val="28"/>
          <w:szCs w:val="28"/>
          <w:lang w:val="uk-UA"/>
        </w:rPr>
        <w:t xml:space="preserve">З огляду на </w:t>
      </w:r>
      <w:r w:rsidR="00354127" w:rsidRPr="006744D4">
        <w:rPr>
          <w:rFonts w:ascii="Times New Roman" w:hAnsi="Times New Roman"/>
          <w:sz w:val="28"/>
          <w:szCs w:val="28"/>
          <w:lang w:val="uk-UA"/>
        </w:rPr>
        <w:t>викладене</w:t>
      </w:r>
      <w:r w:rsidR="000A1B8A" w:rsidRPr="000A1B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B8A" w:rsidRPr="006744D4">
        <w:rPr>
          <w:rFonts w:ascii="Times New Roman" w:hAnsi="Times New Roman"/>
          <w:sz w:val="28"/>
          <w:szCs w:val="28"/>
          <w:lang w:val="uk-UA"/>
        </w:rPr>
        <w:t>вище</w:t>
      </w:r>
      <w:r w:rsidRPr="006744D4">
        <w:rPr>
          <w:rFonts w:ascii="Times New Roman" w:hAnsi="Times New Roman"/>
          <w:sz w:val="28"/>
          <w:szCs w:val="28"/>
          <w:lang w:val="uk-UA"/>
        </w:rPr>
        <w:t xml:space="preserve"> можна зробити висновок, </w:t>
      </w:r>
      <w:r w:rsidR="00624C4E" w:rsidRPr="006744D4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624C4E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аповідачами можуть бути не всі учасники цивільно-правових відносин, а тільки ті з них, які належать до фізичних осіб і мають повну цивільну дієздатність на момент складання заповіту. </w:t>
      </w:r>
      <w:r w:rsidR="00624C4E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законодавчому рівні прямо передбачено, що заповіт – це усне розпорядження фізичної особи на випадок її смерті. Отже, з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аповідачами не можуть бути держава, юридичні особи, Автономна Республіка Крим, територіальні громади, іноземні держави, інші суб’єкти публічного права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Також</w:t>
      </w:r>
      <w:r w:rsidR="00624C4E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ілька фізичних осіб, 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подружжя, не мають права спільно скла</w:t>
      </w:r>
      <w:r w:rsidR="000A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дати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заповіт.</w:t>
      </w:r>
      <w:r w:rsidR="00624C4E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6529" w:rsidRPr="006744D4" w:rsidRDefault="00A36529" w:rsidP="00F93559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6744D4"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A36529" w:rsidRPr="006744D4" w:rsidRDefault="00A36529" w:rsidP="00CA72B5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44D4">
        <w:rPr>
          <w:rFonts w:ascii="Times New Roman" w:eastAsia="Times New Roman" w:hAnsi="Times New Roman"/>
          <w:sz w:val="28"/>
          <w:szCs w:val="28"/>
          <w:lang w:val="uk-UA" w:eastAsia="ru-RU"/>
        </w:rPr>
        <w:t>Цивільний Кодекс України</w:t>
      </w:r>
      <w:r w:rsidRPr="006744D4">
        <w:rPr>
          <w:rFonts w:ascii="Times New Roman" w:hAnsi="Times New Roman"/>
          <w:sz w:val="28"/>
          <w:szCs w:val="28"/>
          <w:lang w:val="uk-UA"/>
        </w:rPr>
        <w:t xml:space="preserve"> від 16 січня 2004 року [Електронний ресурс] / Верховна Рада України // Режим доступу:</w:t>
      </w:r>
      <w:r w:rsidR="00F93559" w:rsidRPr="006744D4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Pr="006744D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http://zakon.rada.gov.ua/cgi-bin/laws/main.cgi?nreg=435-15</w:t>
        </w:r>
      </w:hyperlink>
      <w:r w:rsidRPr="006744D4">
        <w:rPr>
          <w:rFonts w:ascii="Times New Roman" w:hAnsi="Times New Roman"/>
          <w:sz w:val="28"/>
          <w:szCs w:val="28"/>
          <w:lang w:val="uk-UA"/>
        </w:rPr>
        <w:t>.</w:t>
      </w:r>
    </w:p>
    <w:p w:rsidR="00A36529" w:rsidRPr="006744D4" w:rsidRDefault="00A36529" w:rsidP="00CA72B5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44D4">
        <w:rPr>
          <w:rFonts w:ascii="Times New Roman" w:hAnsi="Times New Roman" w:cs="TimesNewRoman,Bold"/>
          <w:bCs/>
          <w:sz w:val="28"/>
          <w:szCs w:val="28"/>
          <w:lang w:val="uk-UA"/>
        </w:rPr>
        <w:t>Вовк М</w:t>
      </w:r>
      <w:r w:rsidRPr="006744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744D4">
        <w:rPr>
          <w:rFonts w:ascii="Times New Roman" w:hAnsi="Times New Roman" w:cs="TimesNewRoman,Bold"/>
          <w:bCs/>
          <w:sz w:val="28"/>
          <w:szCs w:val="28"/>
          <w:lang w:val="uk-UA"/>
        </w:rPr>
        <w:t>З</w:t>
      </w:r>
      <w:r w:rsidRPr="006744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744D4">
        <w:rPr>
          <w:rFonts w:ascii="Times New Roman" w:hAnsi="Times New Roman" w:cs="TimesNewRoman,Bold"/>
          <w:bCs/>
          <w:sz w:val="28"/>
          <w:szCs w:val="28"/>
          <w:lang w:val="uk-UA"/>
        </w:rPr>
        <w:t xml:space="preserve">  Право на заповіт / М</w:t>
      </w:r>
      <w:r w:rsidRPr="006744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744D4">
        <w:rPr>
          <w:rFonts w:ascii="Times New Roman" w:hAnsi="Times New Roman" w:cs="TimesNewRoman,Bold"/>
          <w:bCs/>
          <w:sz w:val="28"/>
          <w:szCs w:val="28"/>
          <w:lang w:val="uk-UA"/>
        </w:rPr>
        <w:t>З</w:t>
      </w:r>
      <w:r w:rsidRPr="006744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6744D4">
        <w:rPr>
          <w:rFonts w:ascii="Times New Roman" w:hAnsi="Times New Roman" w:cs="TimesNewRoman,Bold"/>
          <w:bCs/>
          <w:sz w:val="28"/>
          <w:szCs w:val="28"/>
          <w:lang w:val="uk-UA"/>
        </w:rPr>
        <w:t>Вовк // Науковий вісник Львівського державного університету внутрішніх справ . – 2009. - №4. – С. 76-83.</w:t>
      </w:r>
    </w:p>
    <w:p w:rsidR="00A36529" w:rsidRPr="006744D4" w:rsidRDefault="00A36529" w:rsidP="00CA72B5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Збірник постанов Пленуму Верховного Суду України в циві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льних справах </w:t>
      </w:r>
      <w:r w:rsidR="00AA740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загальних питань: 1963–2007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</w:t>
      </w:r>
      <w:r w:rsidR="00AA740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Х.: ТОВ «Одіссей», 2008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A7400"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512 с.</w:t>
      </w:r>
    </w:p>
    <w:p w:rsidR="00A36529" w:rsidRPr="006744D4" w:rsidRDefault="00A36529" w:rsidP="00CA72B5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44D4">
        <w:rPr>
          <w:rStyle w:val="a5"/>
          <w:rFonts w:ascii="Times New Roman" w:hAnsi="Times New Roman"/>
          <w:b w:val="0"/>
          <w:sz w:val="28"/>
          <w:szCs w:val="28"/>
          <w:lang w:val="uk-UA"/>
        </w:rPr>
        <w:t> </w:t>
      </w:r>
      <w:r w:rsidR="00E04905" w:rsidRPr="006744D4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Молчанова А.С. Актуальні проблеми складання заповіту неповнолітніми особами / А.С. Молчанова // </w:t>
      </w:r>
      <w:r w:rsidR="00E04905" w:rsidRPr="006744D4">
        <w:rPr>
          <w:rFonts w:ascii="Times New Roman" w:hAnsi="Times New Roman"/>
          <w:sz w:val="28"/>
          <w:szCs w:val="28"/>
          <w:lang w:val="uk-UA"/>
        </w:rPr>
        <w:t xml:space="preserve">Восьма Міжнародна науково-практична </w:t>
      </w:r>
      <w:proofErr w:type="spellStart"/>
      <w:r w:rsidR="00E04905" w:rsidRPr="006744D4">
        <w:rPr>
          <w:rFonts w:ascii="Times New Roman" w:hAnsi="Times New Roman"/>
          <w:sz w:val="28"/>
          <w:szCs w:val="28"/>
          <w:lang w:val="uk-UA"/>
        </w:rPr>
        <w:t>інтернет-конференція</w:t>
      </w:r>
      <w:proofErr w:type="spellEnd"/>
      <w:r w:rsidR="00E04905" w:rsidRPr="006744D4">
        <w:rPr>
          <w:rFonts w:ascii="Times New Roman" w:hAnsi="Times New Roman"/>
          <w:sz w:val="28"/>
          <w:szCs w:val="28"/>
          <w:lang w:val="uk-UA"/>
        </w:rPr>
        <w:t xml:space="preserve"> "Соціум. Наука. Культура" [Електронний ресурс]. – Режим доступу: http://intkonf.org/molchanova-as-aktualni-problemi-skladannya-zapovitu-nepovnolitnimi-osobami.</w:t>
      </w:r>
    </w:p>
    <w:p w:rsidR="00A36529" w:rsidRPr="006744D4" w:rsidRDefault="00A36529" w:rsidP="00CA72B5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Заіка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 Спадкове право в Україні. Становлення і розвиток: мо</w:t>
      </w: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нографія / Ю.О. </w:t>
      </w: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Заіка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[2-е вид.]. – К.: КНТ, 2007. – 288 с.</w:t>
      </w:r>
    </w:p>
    <w:p w:rsidR="00A36529" w:rsidRPr="006744D4" w:rsidRDefault="00A36529" w:rsidP="00CA72B5">
      <w:pPr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Спадкове право. Нотаріат. Адвокатура. Суд: </w:t>
      </w: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наук.-практ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 / за </w:t>
      </w: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С.Я. </w:t>
      </w: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Фурси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Видавець </w:t>
      </w:r>
      <w:proofErr w:type="spellStart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Фурса</w:t>
      </w:r>
      <w:proofErr w:type="spellEnd"/>
      <w:r w:rsidRPr="00674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С.Я.: КНТ, 2007. – 1216 с.</w:t>
      </w:r>
    </w:p>
    <w:p w:rsidR="00251E38" w:rsidRPr="006744D4" w:rsidRDefault="00251E38" w:rsidP="00CA72B5">
      <w:pPr>
        <w:tabs>
          <w:tab w:val="left" w:pos="0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E38" w:rsidRPr="006744D4" w:rsidRDefault="00251E38" w:rsidP="00CA72B5">
      <w:pPr>
        <w:tabs>
          <w:tab w:val="left" w:pos="0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51E38" w:rsidRPr="006744D4" w:rsidSect="00F935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6BD"/>
    <w:multiLevelType w:val="multilevel"/>
    <w:tmpl w:val="63ECD1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93489"/>
    <w:multiLevelType w:val="hybridMultilevel"/>
    <w:tmpl w:val="653C4F42"/>
    <w:lvl w:ilvl="0" w:tplc="F0627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339B"/>
    <w:multiLevelType w:val="hybridMultilevel"/>
    <w:tmpl w:val="54E66402"/>
    <w:lvl w:ilvl="0" w:tplc="37400D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146D3"/>
    <w:multiLevelType w:val="multilevel"/>
    <w:tmpl w:val="979A9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777AB"/>
    <w:multiLevelType w:val="multilevel"/>
    <w:tmpl w:val="5A30381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5">
    <w:nsid w:val="64AB4DCD"/>
    <w:multiLevelType w:val="multilevel"/>
    <w:tmpl w:val="00F6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E38"/>
    <w:rsid w:val="00021241"/>
    <w:rsid w:val="00024491"/>
    <w:rsid w:val="000A1B8A"/>
    <w:rsid w:val="00251E38"/>
    <w:rsid w:val="002722A1"/>
    <w:rsid w:val="002D1DE7"/>
    <w:rsid w:val="002D2F64"/>
    <w:rsid w:val="002E57D0"/>
    <w:rsid w:val="00354127"/>
    <w:rsid w:val="0049073D"/>
    <w:rsid w:val="004A6A66"/>
    <w:rsid w:val="0056664F"/>
    <w:rsid w:val="005A30D0"/>
    <w:rsid w:val="00612E2B"/>
    <w:rsid w:val="00624C4E"/>
    <w:rsid w:val="006744D4"/>
    <w:rsid w:val="00692F71"/>
    <w:rsid w:val="006D470B"/>
    <w:rsid w:val="00704492"/>
    <w:rsid w:val="00720504"/>
    <w:rsid w:val="00755598"/>
    <w:rsid w:val="008732A0"/>
    <w:rsid w:val="0095714A"/>
    <w:rsid w:val="00A36529"/>
    <w:rsid w:val="00A46915"/>
    <w:rsid w:val="00A8475E"/>
    <w:rsid w:val="00AA7400"/>
    <w:rsid w:val="00AD2AF0"/>
    <w:rsid w:val="00AE3294"/>
    <w:rsid w:val="00B70C7B"/>
    <w:rsid w:val="00BF1AC4"/>
    <w:rsid w:val="00BF7A45"/>
    <w:rsid w:val="00CA72B5"/>
    <w:rsid w:val="00CC095E"/>
    <w:rsid w:val="00D051A0"/>
    <w:rsid w:val="00E04905"/>
    <w:rsid w:val="00E21C83"/>
    <w:rsid w:val="00E271D5"/>
    <w:rsid w:val="00F84648"/>
    <w:rsid w:val="00F9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51E38"/>
  </w:style>
  <w:style w:type="paragraph" w:styleId="a4">
    <w:name w:val="List Paragraph"/>
    <w:basedOn w:val="a"/>
    <w:uiPriority w:val="34"/>
    <w:qFormat/>
    <w:rsid w:val="00704492"/>
    <w:pPr>
      <w:ind w:left="720"/>
      <w:contextualSpacing/>
    </w:pPr>
  </w:style>
  <w:style w:type="character" w:styleId="a5">
    <w:name w:val="Strong"/>
    <w:basedOn w:val="a0"/>
    <w:uiPriority w:val="22"/>
    <w:qFormat/>
    <w:rsid w:val="00A36529"/>
    <w:rPr>
      <w:b/>
      <w:bCs/>
    </w:rPr>
  </w:style>
  <w:style w:type="character" w:styleId="a6">
    <w:name w:val="Hyperlink"/>
    <w:basedOn w:val="a0"/>
    <w:rsid w:val="00A365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65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cgi-bin/laws/main.cgi?nreg=43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2013-06-13T14:21:00Z</dcterms:created>
  <dcterms:modified xsi:type="dcterms:W3CDTF">2013-06-13T14:21:00Z</dcterms:modified>
</cp:coreProperties>
</file>