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BE" w:rsidRDefault="00D77ABE" w:rsidP="00D77ABE">
      <w:pPr>
        <w:jc w:val="center"/>
        <w:rPr>
          <w:rFonts w:ascii="Times New Roman" w:hAnsi="Times New Roman" w:cs="Times New Roman"/>
          <w:b/>
          <w:sz w:val="28"/>
          <w:szCs w:val="28"/>
          <w:lang w:val="en-GB"/>
        </w:rPr>
      </w:pPr>
      <w:bookmarkStart w:id="0" w:name="_GoBack"/>
      <w:r w:rsidRPr="000D6535">
        <w:rPr>
          <w:rFonts w:ascii="Times New Roman" w:hAnsi="Times New Roman" w:cs="Times New Roman"/>
          <w:b/>
          <w:sz w:val="28"/>
          <w:szCs w:val="28"/>
          <w:lang w:val="en-GB"/>
        </w:rPr>
        <w:t>Slovenian law of unjustified enrichment in a nutshell</w:t>
      </w:r>
    </w:p>
    <w:bookmarkEnd w:id="0"/>
    <w:p w:rsidR="000D6535" w:rsidRPr="00D21580" w:rsidRDefault="00F57852" w:rsidP="00D77ABE">
      <w:pPr>
        <w:jc w:val="center"/>
        <w:rPr>
          <w:rFonts w:ascii="Times New Roman" w:hAnsi="Times New Roman" w:cs="Times New Roman"/>
          <w:b/>
          <w:sz w:val="28"/>
          <w:szCs w:val="28"/>
          <w:lang w:val="de-DE"/>
        </w:rPr>
      </w:pPr>
      <w:r w:rsidRPr="00D21580">
        <w:rPr>
          <w:rFonts w:ascii="Times New Roman" w:hAnsi="Times New Roman" w:cs="Times New Roman"/>
          <w:b/>
          <w:sz w:val="28"/>
          <w:szCs w:val="28"/>
          <w:lang w:val="de-DE"/>
        </w:rPr>
        <w:t xml:space="preserve">As. Dr. </w:t>
      </w:r>
      <w:r w:rsidR="000D6535" w:rsidRPr="00D21580">
        <w:rPr>
          <w:rFonts w:ascii="Times New Roman" w:hAnsi="Times New Roman" w:cs="Times New Roman"/>
          <w:b/>
          <w:sz w:val="28"/>
          <w:szCs w:val="28"/>
          <w:lang w:val="de-DE"/>
        </w:rPr>
        <w:t>Karmen Lutman</w:t>
      </w:r>
      <w:r w:rsidRPr="00D21580">
        <w:rPr>
          <w:rFonts w:ascii="Times New Roman" w:hAnsi="Times New Roman" w:cs="Times New Roman"/>
          <w:b/>
          <w:sz w:val="28"/>
          <w:szCs w:val="28"/>
          <w:lang w:val="de-DE"/>
        </w:rPr>
        <w:t>, LL.M.</w:t>
      </w:r>
      <w:r w:rsidR="000D6535" w:rsidRPr="000D6535">
        <w:rPr>
          <w:rStyle w:val="a3"/>
          <w:rFonts w:ascii="Times New Roman" w:hAnsi="Times New Roman" w:cs="Times New Roman"/>
          <w:b/>
          <w:sz w:val="28"/>
          <w:szCs w:val="28"/>
          <w:lang w:val="en-GB"/>
        </w:rPr>
        <w:footnoteReference w:customMarkFollows="1" w:id="1"/>
        <w:sym w:font="Symbol" w:char="F02A"/>
      </w:r>
    </w:p>
    <w:p w:rsidR="00D77ABE" w:rsidRPr="000D6535" w:rsidRDefault="00D77ABE" w:rsidP="000D6535">
      <w:pPr>
        <w:spacing w:line="360" w:lineRule="auto"/>
        <w:jc w:val="both"/>
        <w:rPr>
          <w:rFonts w:ascii="Times New Roman" w:hAnsi="Times New Roman" w:cs="Times New Roman"/>
          <w:sz w:val="28"/>
          <w:szCs w:val="28"/>
          <w:lang w:val="en-GB"/>
        </w:rPr>
      </w:pPr>
      <w:r w:rsidRPr="000D6535">
        <w:rPr>
          <w:rFonts w:ascii="Times New Roman" w:hAnsi="Times New Roman" w:cs="Times New Roman"/>
          <w:sz w:val="28"/>
          <w:szCs w:val="28"/>
          <w:lang w:val="en-GB"/>
        </w:rPr>
        <w:t>The law of unjustified enrichment creates liability in cases when one person is enriched at the expense of another and there is no legal ground for retaining this enrichment. In such cases the law imposes an obligation of restitution upon the unjustly enriched recipient, which is subject to various defences. Slovenian law of unjustified enrichment is codified, as it is in many other civil law countries. Its provisions are enshrined in the Code of Obligations (Articles 190 – 198) and are based on the previous ones of the Yugoslav Act on Obligations. In contrast to the Austrian Civil Code (ABGB), which had been in force in Slovenian territory from 1815 until 1946, and as an informal source of law until 1978 (when the Yugoslav Act was adopted), the Yugoslav Act united all enrichment claims into a separate chapter on unjustified enrichment and subjected them to a general clause. Although some legal scholars opposed the idea of unifying the law of unjustified enrichment,</w:t>
      </w:r>
      <w:r w:rsidRPr="000D6535">
        <w:rPr>
          <w:rStyle w:val="a3"/>
          <w:rFonts w:ascii="Times New Roman" w:hAnsi="Times New Roman" w:cs="Times New Roman"/>
          <w:sz w:val="28"/>
          <w:szCs w:val="28"/>
          <w:lang w:val="en-GB"/>
        </w:rPr>
        <w:footnoteReference w:id="2"/>
      </w:r>
      <w:r w:rsidRPr="000D6535">
        <w:rPr>
          <w:rFonts w:ascii="Times New Roman" w:hAnsi="Times New Roman" w:cs="Times New Roman"/>
          <w:sz w:val="28"/>
          <w:szCs w:val="28"/>
          <w:lang w:val="en-GB"/>
        </w:rPr>
        <w:t xml:space="preserve"> the legislator followed the solution proposed by </w:t>
      </w:r>
      <w:proofErr w:type="gramStart"/>
      <w:r w:rsidRPr="000D6535">
        <w:rPr>
          <w:rFonts w:ascii="Times New Roman" w:hAnsi="Times New Roman" w:cs="Times New Roman"/>
          <w:sz w:val="28"/>
          <w:szCs w:val="28"/>
          <w:lang w:val="en-GB"/>
        </w:rPr>
        <w:t>professor</w:t>
      </w:r>
      <w:proofErr w:type="gramEnd"/>
      <w:r w:rsidRPr="000D6535">
        <w:rPr>
          <w:rFonts w:ascii="Times New Roman" w:hAnsi="Times New Roman" w:cs="Times New Roman"/>
          <w:sz w:val="28"/>
          <w:szCs w:val="28"/>
          <w:lang w:val="en-GB"/>
        </w:rPr>
        <w:t xml:space="preserve"> </w:t>
      </w:r>
      <w:proofErr w:type="spellStart"/>
      <w:r w:rsidRPr="000D6535">
        <w:rPr>
          <w:rFonts w:ascii="Times New Roman" w:hAnsi="Times New Roman" w:cs="Times New Roman"/>
          <w:sz w:val="28"/>
          <w:szCs w:val="28"/>
          <w:lang w:val="en-GB"/>
        </w:rPr>
        <w:t>Mihailo</w:t>
      </w:r>
      <w:proofErr w:type="spellEnd"/>
      <w:r w:rsidRPr="000D6535">
        <w:rPr>
          <w:rFonts w:ascii="Times New Roman" w:hAnsi="Times New Roman" w:cs="Times New Roman"/>
          <w:sz w:val="28"/>
          <w:szCs w:val="28"/>
          <w:lang w:val="en-GB"/>
        </w:rPr>
        <w:t xml:space="preserve"> </w:t>
      </w:r>
      <w:proofErr w:type="spellStart"/>
      <w:r w:rsidRPr="000D6535">
        <w:rPr>
          <w:rFonts w:ascii="Times New Roman" w:hAnsi="Times New Roman" w:cs="Times New Roman"/>
          <w:sz w:val="28"/>
          <w:szCs w:val="28"/>
          <w:lang w:val="en-GB"/>
        </w:rPr>
        <w:t>Konstantinović</w:t>
      </w:r>
      <w:proofErr w:type="spellEnd"/>
      <w:r w:rsidRPr="000D6535">
        <w:rPr>
          <w:rFonts w:ascii="Times New Roman" w:hAnsi="Times New Roman" w:cs="Times New Roman"/>
          <w:sz w:val="28"/>
          <w:szCs w:val="28"/>
          <w:lang w:val="en-GB"/>
        </w:rPr>
        <w:t xml:space="preserve"> in his draft of the Yugoslav Act on Obligations,</w:t>
      </w:r>
      <w:r w:rsidRPr="000D6535">
        <w:rPr>
          <w:rStyle w:val="a3"/>
          <w:rFonts w:ascii="Times New Roman" w:hAnsi="Times New Roman" w:cs="Times New Roman"/>
          <w:sz w:val="28"/>
          <w:szCs w:val="28"/>
          <w:lang w:val="en-GB"/>
        </w:rPr>
        <w:footnoteReference w:id="3"/>
      </w:r>
      <w:r w:rsidRPr="000D6535">
        <w:rPr>
          <w:rFonts w:ascii="Times New Roman" w:hAnsi="Times New Roman" w:cs="Times New Roman"/>
          <w:sz w:val="28"/>
          <w:szCs w:val="28"/>
          <w:lang w:val="en-GB"/>
        </w:rPr>
        <w:t xml:space="preserve"> which was most likely inspired by Swiss law.</w:t>
      </w:r>
      <w:r w:rsidRPr="000D6535">
        <w:rPr>
          <w:rStyle w:val="a3"/>
          <w:rFonts w:ascii="Times New Roman" w:hAnsi="Times New Roman" w:cs="Times New Roman"/>
          <w:sz w:val="28"/>
          <w:szCs w:val="28"/>
          <w:lang w:val="en-GB"/>
        </w:rPr>
        <w:footnoteReference w:id="4"/>
      </w:r>
      <w:r w:rsidRPr="000D6535">
        <w:rPr>
          <w:rFonts w:ascii="Times New Roman" w:hAnsi="Times New Roman" w:cs="Times New Roman"/>
          <w:sz w:val="28"/>
          <w:szCs w:val="28"/>
          <w:lang w:val="en-GB"/>
        </w:rPr>
        <w:t xml:space="preserve"> </w:t>
      </w:r>
    </w:p>
    <w:p w:rsidR="00D77ABE" w:rsidRPr="000D6535" w:rsidRDefault="00D77ABE" w:rsidP="000D6535">
      <w:pPr>
        <w:spacing w:line="360" w:lineRule="auto"/>
        <w:jc w:val="both"/>
        <w:rPr>
          <w:rFonts w:ascii="Times New Roman" w:hAnsi="Times New Roman" w:cs="Times New Roman"/>
          <w:sz w:val="28"/>
          <w:szCs w:val="28"/>
          <w:lang w:val="en-GB"/>
        </w:rPr>
      </w:pPr>
      <w:r w:rsidRPr="000D6535">
        <w:rPr>
          <w:rFonts w:ascii="Times New Roman" w:hAnsi="Times New Roman" w:cs="Times New Roman"/>
          <w:sz w:val="28"/>
          <w:szCs w:val="28"/>
          <w:lang w:val="en-GB"/>
        </w:rPr>
        <w:t xml:space="preserve">Provisions on unjustified enrichment as contained in the Slovenian Code of Obligations consist of a general clause, </w:t>
      </w:r>
      <w:proofErr w:type="spellStart"/>
      <w:r w:rsidRPr="000D6535">
        <w:rPr>
          <w:rFonts w:ascii="Times New Roman" w:hAnsi="Times New Roman" w:cs="Times New Roman"/>
          <w:sz w:val="28"/>
          <w:szCs w:val="28"/>
          <w:lang w:val="en-GB"/>
        </w:rPr>
        <w:t>restitutionary</w:t>
      </w:r>
      <w:proofErr w:type="spellEnd"/>
      <w:r w:rsidRPr="000D6535">
        <w:rPr>
          <w:rFonts w:ascii="Times New Roman" w:hAnsi="Times New Roman" w:cs="Times New Roman"/>
          <w:sz w:val="28"/>
          <w:szCs w:val="28"/>
          <w:lang w:val="en-GB"/>
        </w:rPr>
        <w:t xml:space="preserve"> rules and certain types of non-performance-based enrichments. The Code adopted the unitary approach, whereby all enrichment claims are based on a single general rule. It follows from the wording of the general clause that “If a person becomes enriched to the detriment of another without a legal basis, he shall be obliged to return the benefit received if possible, or to repay the value of the benefit achieved</w:t>
      </w:r>
      <w:r w:rsidRPr="000D6535">
        <w:rPr>
          <w:rFonts w:ascii="Times New Roman" w:hAnsi="Times New Roman" w:cs="Times New Roman"/>
          <w:i/>
          <w:sz w:val="28"/>
          <w:szCs w:val="28"/>
          <w:lang w:val="en-GB"/>
        </w:rPr>
        <w:t>.</w:t>
      </w:r>
      <w:r w:rsidRPr="000D6535">
        <w:rPr>
          <w:rFonts w:ascii="Times New Roman" w:hAnsi="Times New Roman" w:cs="Times New Roman"/>
          <w:sz w:val="28"/>
          <w:szCs w:val="28"/>
          <w:lang w:val="en-GB"/>
        </w:rPr>
        <w:t>”</w:t>
      </w:r>
      <w:r w:rsidRPr="000D6535">
        <w:rPr>
          <w:rStyle w:val="a3"/>
          <w:rFonts w:ascii="Times New Roman" w:hAnsi="Times New Roman" w:cs="Times New Roman"/>
          <w:sz w:val="28"/>
          <w:szCs w:val="28"/>
          <w:lang w:val="en-GB"/>
        </w:rPr>
        <w:footnoteReference w:id="5"/>
      </w:r>
      <w:r w:rsidRPr="000D6535">
        <w:rPr>
          <w:rFonts w:ascii="Times New Roman" w:hAnsi="Times New Roman" w:cs="Times New Roman"/>
          <w:sz w:val="28"/>
          <w:szCs w:val="28"/>
          <w:lang w:val="en-GB"/>
        </w:rPr>
        <w:t xml:space="preserve"> However, the Slovenian theory follows the pluralistic </w:t>
      </w:r>
      <w:r w:rsidRPr="000D6535">
        <w:rPr>
          <w:rFonts w:ascii="Times New Roman" w:hAnsi="Times New Roman" w:cs="Times New Roman"/>
          <w:sz w:val="28"/>
          <w:szCs w:val="28"/>
          <w:lang w:val="en-GB"/>
        </w:rPr>
        <w:lastRenderedPageBreak/>
        <w:t>approach</w:t>
      </w:r>
      <w:r w:rsidRPr="000D6535">
        <w:rPr>
          <w:rStyle w:val="a3"/>
          <w:rFonts w:ascii="Times New Roman" w:hAnsi="Times New Roman" w:cs="Times New Roman"/>
          <w:sz w:val="28"/>
          <w:szCs w:val="28"/>
          <w:lang w:val="en-GB"/>
        </w:rPr>
        <w:footnoteReference w:id="6"/>
      </w:r>
      <w:r w:rsidRPr="000D6535">
        <w:rPr>
          <w:rFonts w:ascii="Times New Roman" w:hAnsi="Times New Roman" w:cs="Times New Roman"/>
          <w:sz w:val="28"/>
          <w:szCs w:val="28"/>
          <w:lang w:val="en-GB"/>
        </w:rPr>
        <w:t xml:space="preserve"> and differs among various enrichment claims, whereas the main distinction is drawn between performance-based and non-performance-based enrichment claims, a taxonomy established by Walter </w:t>
      </w:r>
      <w:proofErr w:type="spellStart"/>
      <w:r w:rsidRPr="000D6535">
        <w:rPr>
          <w:rFonts w:ascii="Times New Roman" w:hAnsi="Times New Roman" w:cs="Times New Roman"/>
          <w:sz w:val="28"/>
          <w:szCs w:val="28"/>
          <w:lang w:val="en-GB"/>
        </w:rPr>
        <w:t>Wilburg</w:t>
      </w:r>
      <w:proofErr w:type="spellEnd"/>
      <w:r w:rsidRPr="000D6535">
        <w:rPr>
          <w:rFonts w:ascii="Times New Roman" w:hAnsi="Times New Roman" w:cs="Times New Roman"/>
          <w:sz w:val="28"/>
          <w:szCs w:val="28"/>
          <w:lang w:val="en-GB"/>
        </w:rPr>
        <w:t xml:space="preserve"> and Ernst von </w:t>
      </w:r>
      <w:proofErr w:type="spellStart"/>
      <w:r w:rsidRPr="000D6535">
        <w:rPr>
          <w:rFonts w:ascii="Times New Roman" w:hAnsi="Times New Roman" w:cs="Times New Roman"/>
          <w:sz w:val="28"/>
          <w:szCs w:val="28"/>
          <w:lang w:val="en-GB"/>
        </w:rPr>
        <w:t>Caemmerer</w:t>
      </w:r>
      <w:proofErr w:type="spellEnd"/>
      <w:r w:rsidRPr="000D6535">
        <w:rPr>
          <w:rFonts w:ascii="Times New Roman" w:hAnsi="Times New Roman" w:cs="Times New Roman"/>
          <w:sz w:val="28"/>
          <w:szCs w:val="28"/>
          <w:lang w:val="en-GB"/>
        </w:rPr>
        <w:t>.</w:t>
      </w:r>
      <w:r w:rsidRPr="000D6535">
        <w:rPr>
          <w:rStyle w:val="a3"/>
          <w:rFonts w:ascii="Times New Roman" w:hAnsi="Times New Roman" w:cs="Times New Roman"/>
          <w:sz w:val="28"/>
          <w:szCs w:val="28"/>
          <w:lang w:val="en-GB"/>
        </w:rPr>
        <w:footnoteReference w:id="7"/>
      </w:r>
      <w:r w:rsidRPr="000D6535">
        <w:rPr>
          <w:rFonts w:ascii="Times New Roman" w:hAnsi="Times New Roman" w:cs="Times New Roman"/>
          <w:sz w:val="28"/>
          <w:szCs w:val="28"/>
          <w:lang w:val="en-GB"/>
        </w:rPr>
        <w:t xml:space="preserve"> In a comparative perspective, different views may be identified regarding the unity of the law of unjust</w:t>
      </w:r>
      <w:r w:rsidR="00D21580">
        <w:rPr>
          <w:rFonts w:ascii="Times New Roman" w:hAnsi="Times New Roman" w:cs="Times New Roman"/>
          <w:sz w:val="28"/>
          <w:szCs w:val="28"/>
          <w:lang w:val="en-GB"/>
        </w:rPr>
        <w:t>ified</w:t>
      </w:r>
      <w:r w:rsidRPr="000D6535">
        <w:rPr>
          <w:rFonts w:ascii="Times New Roman" w:hAnsi="Times New Roman" w:cs="Times New Roman"/>
          <w:sz w:val="28"/>
          <w:szCs w:val="28"/>
          <w:lang w:val="en-GB"/>
        </w:rPr>
        <w:t xml:space="preserve"> enrichment. While some authors believe that unjustified enrichment cases all reflect a single principle that benefits received without a legal basis must be given up,</w:t>
      </w:r>
      <w:r w:rsidRPr="000D6535">
        <w:rPr>
          <w:rStyle w:val="a3"/>
          <w:rFonts w:ascii="Times New Roman" w:hAnsi="Times New Roman" w:cs="Times New Roman"/>
          <w:sz w:val="28"/>
          <w:szCs w:val="28"/>
          <w:lang w:val="en-GB"/>
        </w:rPr>
        <w:footnoteReference w:id="8"/>
      </w:r>
      <w:r w:rsidRPr="000D6535">
        <w:rPr>
          <w:rFonts w:ascii="Times New Roman" w:hAnsi="Times New Roman" w:cs="Times New Roman"/>
          <w:sz w:val="28"/>
          <w:szCs w:val="28"/>
          <w:lang w:val="en-GB"/>
        </w:rPr>
        <w:t xml:space="preserve"> others argue that the unitary unjustified enrichment claims, especially those in the German and Swiss Civil Codes, are based on nineteenth century doctrinal assumptions which have long since been superseded.</w:t>
      </w:r>
      <w:r w:rsidRPr="000D6535">
        <w:rPr>
          <w:rStyle w:val="a3"/>
          <w:rFonts w:ascii="Times New Roman" w:hAnsi="Times New Roman" w:cs="Times New Roman"/>
          <w:sz w:val="28"/>
          <w:szCs w:val="28"/>
          <w:lang w:val="en-GB"/>
        </w:rPr>
        <w:footnoteReference w:id="9"/>
      </w:r>
      <w:r w:rsidRPr="000D6535">
        <w:rPr>
          <w:rFonts w:ascii="Times New Roman" w:hAnsi="Times New Roman" w:cs="Times New Roman"/>
          <w:sz w:val="28"/>
          <w:szCs w:val="28"/>
          <w:lang w:val="en-GB"/>
        </w:rPr>
        <w:t xml:space="preserve"> According to observations made by professor Nils Jansen that “Civilian jurists have begun to realise that the different claims that developed under the umbrella of unjustified enrichment belong to different contexts, and that the codifications’ order is no sufficient reason to integrate within a unified institute claims that are of fundamentally divergent legal nature”, it could be said that a pluralistic approach is the first step towards recognising the differences between enrichment claims that should, in my opinion, be taken into consideration also when applying the rules of restitution.</w:t>
      </w:r>
    </w:p>
    <w:p w:rsidR="00D77ABE" w:rsidRPr="000D6535" w:rsidRDefault="00D77ABE" w:rsidP="000D6535">
      <w:pPr>
        <w:spacing w:line="360" w:lineRule="auto"/>
        <w:jc w:val="both"/>
        <w:rPr>
          <w:rFonts w:ascii="Times New Roman" w:hAnsi="Times New Roman" w:cs="Times New Roman"/>
          <w:sz w:val="28"/>
          <w:szCs w:val="28"/>
          <w:lang w:val="en-GB"/>
        </w:rPr>
      </w:pPr>
      <w:r w:rsidRPr="000D6535">
        <w:rPr>
          <w:rFonts w:ascii="Times New Roman" w:hAnsi="Times New Roman" w:cs="Times New Roman"/>
          <w:sz w:val="28"/>
          <w:szCs w:val="28"/>
          <w:lang w:val="en-GB"/>
        </w:rPr>
        <w:t xml:space="preserve">The Code of Obligations contains a set of </w:t>
      </w:r>
      <w:proofErr w:type="spellStart"/>
      <w:r w:rsidRPr="000D6535">
        <w:rPr>
          <w:rFonts w:ascii="Times New Roman" w:hAnsi="Times New Roman" w:cs="Times New Roman"/>
          <w:sz w:val="28"/>
          <w:szCs w:val="28"/>
          <w:lang w:val="en-GB"/>
        </w:rPr>
        <w:t>restitutionary</w:t>
      </w:r>
      <w:proofErr w:type="spellEnd"/>
      <w:r w:rsidRPr="000D6535">
        <w:rPr>
          <w:rFonts w:ascii="Times New Roman" w:hAnsi="Times New Roman" w:cs="Times New Roman"/>
          <w:sz w:val="28"/>
          <w:szCs w:val="28"/>
          <w:lang w:val="en-GB"/>
        </w:rPr>
        <w:t xml:space="preserve"> rules which apply to both performance-based and non-performance-based enrichment claims. The measure of restitution can be summarized as follows: the impoverished party can claim restitution in kind, if this is possible, or otherwise the monetary value of the enrichment.</w:t>
      </w:r>
      <w:r w:rsidRPr="000D6535">
        <w:rPr>
          <w:rStyle w:val="a3"/>
          <w:rFonts w:ascii="Times New Roman" w:hAnsi="Times New Roman" w:cs="Times New Roman"/>
          <w:sz w:val="28"/>
          <w:szCs w:val="28"/>
          <w:lang w:val="en-GB"/>
        </w:rPr>
        <w:footnoteReference w:id="10"/>
      </w:r>
      <w:r w:rsidRPr="000D6535">
        <w:rPr>
          <w:rFonts w:ascii="Times New Roman" w:hAnsi="Times New Roman" w:cs="Times New Roman"/>
          <w:sz w:val="28"/>
          <w:szCs w:val="28"/>
          <w:lang w:val="en-GB"/>
        </w:rPr>
        <w:t xml:space="preserve"> There is no provision on loss of enrichment (or the change of position defence, in common law terminology) apart from a special provision on </w:t>
      </w:r>
      <w:proofErr w:type="spellStart"/>
      <w:r w:rsidRPr="000D6535">
        <w:rPr>
          <w:rFonts w:ascii="Times New Roman" w:hAnsi="Times New Roman" w:cs="Times New Roman"/>
          <w:sz w:val="28"/>
          <w:szCs w:val="28"/>
          <w:lang w:val="en-GB"/>
        </w:rPr>
        <w:t>disenrichment</w:t>
      </w:r>
      <w:proofErr w:type="spellEnd"/>
      <w:r w:rsidRPr="000D6535">
        <w:rPr>
          <w:rFonts w:ascii="Times New Roman" w:hAnsi="Times New Roman" w:cs="Times New Roman"/>
          <w:sz w:val="28"/>
          <w:szCs w:val="28"/>
          <w:lang w:val="en-GB"/>
        </w:rPr>
        <w:t xml:space="preserve"> that applies to wrongfully paid compensation for personal damage.</w:t>
      </w:r>
      <w:r w:rsidRPr="000D6535">
        <w:rPr>
          <w:rStyle w:val="a3"/>
          <w:rFonts w:ascii="Times New Roman" w:hAnsi="Times New Roman" w:cs="Times New Roman"/>
          <w:sz w:val="28"/>
          <w:szCs w:val="28"/>
          <w:lang w:val="en-GB"/>
        </w:rPr>
        <w:footnoteReference w:id="11"/>
      </w:r>
      <w:r w:rsidRPr="000D6535">
        <w:rPr>
          <w:rFonts w:ascii="Times New Roman" w:hAnsi="Times New Roman" w:cs="Times New Roman"/>
          <w:sz w:val="28"/>
          <w:szCs w:val="28"/>
          <w:lang w:val="en-GB"/>
        </w:rPr>
        <w:t xml:space="preserve"> </w:t>
      </w:r>
      <w:r w:rsidR="000D6535">
        <w:rPr>
          <w:rFonts w:ascii="Times New Roman" w:hAnsi="Times New Roman" w:cs="Times New Roman"/>
          <w:sz w:val="28"/>
          <w:szCs w:val="28"/>
          <w:lang w:val="en-GB"/>
        </w:rPr>
        <w:t xml:space="preserve">However, it could be concluded that </w:t>
      </w:r>
      <w:proofErr w:type="spellStart"/>
      <w:r w:rsidR="000D6535" w:rsidRPr="000D6535">
        <w:rPr>
          <w:rFonts w:ascii="Times New Roman" w:hAnsi="Times New Roman" w:cs="Times New Roman"/>
          <w:sz w:val="28"/>
          <w:szCs w:val="28"/>
          <w:lang w:val="en-GB"/>
        </w:rPr>
        <w:t>disenrichment</w:t>
      </w:r>
      <w:proofErr w:type="spellEnd"/>
      <w:r w:rsidR="000D6535" w:rsidRPr="000D6535">
        <w:rPr>
          <w:rFonts w:ascii="Times New Roman" w:hAnsi="Times New Roman" w:cs="Times New Roman"/>
          <w:sz w:val="28"/>
          <w:szCs w:val="28"/>
          <w:lang w:val="en-GB"/>
        </w:rPr>
        <w:t xml:space="preserve"> as a way of measuring liability </w:t>
      </w:r>
      <w:r w:rsidR="000D6535">
        <w:rPr>
          <w:rFonts w:ascii="Times New Roman" w:hAnsi="Times New Roman" w:cs="Times New Roman"/>
          <w:sz w:val="28"/>
          <w:szCs w:val="28"/>
          <w:lang w:val="en-GB"/>
        </w:rPr>
        <w:t>is</w:t>
      </w:r>
      <w:r w:rsidR="000D6535" w:rsidRPr="000D6535">
        <w:rPr>
          <w:rFonts w:ascii="Times New Roman" w:hAnsi="Times New Roman" w:cs="Times New Roman"/>
          <w:sz w:val="28"/>
          <w:szCs w:val="28"/>
          <w:lang w:val="en-GB"/>
        </w:rPr>
        <w:t xml:space="preserve"> generally recognized in Slovenian law.</w:t>
      </w:r>
      <w:r w:rsidR="000D6535">
        <w:rPr>
          <w:rFonts w:ascii="Times New Roman" w:hAnsi="Times New Roman" w:cs="Times New Roman"/>
          <w:sz w:val="28"/>
          <w:szCs w:val="28"/>
          <w:lang w:val="en-GB"/>
        </w:rPr>
        <w:t xml:space="preserve"> </w:t>
      </w:r>
      <w:r w:rsidRPr="000D6535">
        <w:rPr>
          <w:rFonts w:ascii="Times New Roman" w:hAnsi="Times New Roman" w:cs="Times New Roman"/>
          <w:sz w:val="28"/>
          <w:szCs w:val="28"/>
          <w:lang w:val="en-GB"/>
        </w:rPr>
        <w:t xml:space="preserve">The mala fide recipient is obliged to return the fruits and pay default interest from the </w:t>
      </w:r>
      <w:r w:rsidRPr="000D6535">
        <w:rPr>
          <w:rFonts w:ascii="Times New Roman" w:hAnsi="Times New Roman" w:cs="Times New Roman"/>
          <w:sz w:val="28"/>
          <w:szCs w:val="28"/>
          <w:lang w:val="en-GB"/>
        </w:rPr>
        <w:lastRenderedPageBreak/>
        <w:t>day of the receipt, while this obligation is imposed on the bona fide recipient from the day the action for restitution in unjustified enrichment was filed.</w:t>
      </w:r>
      <w:r w:rsidRPr="000D6535">
        <w:rPr>
          <w:rStyle w:val="a3"/>
          <w:rFonts w:ascii="Times New Roman" w:hAnsi="Times New Roman" w:cs="Times New Roman"/>
          <w:sz w:val="28"/>
          <w:szCs w:val="28"/>
          <w:lang w:val="en-GB"/>
        </w:rPr>
        <w:footnoteReference w:id="12"/>
      </w:r>
      <w:r w:rsidRPr="000D6535">
        <w:rPr>
          <w:rFonts w:ascii="Times New Roman" w:hAnsi="Times New Roman" w:cs="Times New Roman"/>
          <w:sz w:val="28"/>
          <w:szCs w:val="28"/>
          <w:lang w:val="en-GB"/>
        </w:rPr>
        <w:t xml:space="preserve"> Both recipients are entitled to reimbursement of the necessary and beneficial expenses they had with the received object, whereas the mala fide recipient gets the beneficial expenses reimbursed only to the amount of the increase in value upon return. The recipient is further obliged to pay compensation for the unauthorized use of another’s assets.</w:t>
      </w:r>
      <w:r w:rsidRPr="000D6535">
        <w:rPr>
          <w:rStyle w:val="a3"/>
          <w:rFonts w:ascii="Times New Roman" w:hAnsi="Times New Roman" w:cs="Times New Roman"/>
          <w:sz w:val="28"/>
          <w:szCs w:val="28"/>
          <w:lang w:val="en-GB"/>
        </w:rPr>
        <w:footnoteReference w:id="13"/>
      </w:r>
      <w:r w:rsidRPr="000D6535">
        <w:rPr>
          <w:rFonts w:ascii="Times New Roman" w:hAnsi="Times New Roman" w:cs="Times New Roman"/>
          <w:sz w:val="28"/>
          <w:szCs w:val="28"/>
          <w:lang w:val="en-GB"/>
        </w:rPr>
        <w:t xml:space="preserve"> </w:t>
      </w:r>
    </w:p>
    <w:p w:rsidR="00D77ABE" w:rsidRPr="000D6535" w:rsidRDefault="00D77ABE" w:rsidP="000D6535">
      <w:pPr>
        <w:spacing w:line="360" w:lineRule="auto"/>
        <w:jc w:val="both"/>
        <w:rPr>
          <w:rFonts w:ascii="Times New Roman" w:hAnsi="Times New Roman" w:cs="Times New Roman"/>
          <w:sz w:val="28"/>
          <w:szCs w:val="28"/>
          <w:lang w:val="en-GB"/>
        </w:rPr>
      </w:pPr>
      <w:r w:rsidRPr="000D6535">
        <w:rPr>
          <w:rFonts w:ascii="Times New Roman" w:hAnsi="Times New Roman" w:cs="Times New Roman"/>
          <w:sz w:val="28"/>
          <w:szCs w:val="28"/>
          <w:lang w:val="en-GB"/>
        </w:rPr>
        <w:t>Due to the causal tradition system in Slovenian law, the unjustified model of restitution overlaps in certain situations with the owner/possessor model of restitution.</w:t>
      </w:r>
      <w:r w:rsidRPr="000D6535">
        <w:rPr>
          <w:rStyle w:val="a3"/>
          <w:rFonts w:ascii="Times New Roman" w:hAnsi="Times New Roman" w:cs="Times New Roman"/>
          <w:sz w:val="28"/>
          <w:szCs w:val="28"/>
          <w:lang w:val="en-GB"/>
        </w:rPr>
        <w:footnoteReference w:id="14"/>
      </w:r>
      <w:r w:rsidRPr="000D6535">
        <w:rPr>
          <w:rFonts w:ascii="Times New Roman" w:hAnsi="Times New Roman" w:cs="Times New Roman"/>
          <w:sz w:val="28"/>
          <w:szCs w:val="28"/>
          <w:lang w:val="en-GB"/>
        </w:rPr>
        <w:t xml:space="preserve"> Since its rules differ to some extent from those of unjustified enrichment,</w:t>
      </w:r>
      <w:r w:rsidRPr="000D6535">
        <w:rPr>
          <w:rStyle w:val="a3"/>
          <w:rFonts w:ascii="Times New Roman" w:hAnsi="Times New Roman" w:cs="Times New Roman"/>
          <w:sz w:val="28"/>
          <w:szCs w:val="28"/>
          <w:lang w:val="en-GB"/>
        </w:rPr>
        <w:footnoteReference w:id="15"/>
      </w:r>
      <w:r w:rsidRPr="000D6535">
        <w:rPr>
          <w:rFonts w:ascii="Times New Roman" w:hAnsi="Times New Roman" w:cs="Times New Roman"/>
          <w:sz w:val="28"/>
          <w:szCs w:val="28"/>
          <w:lang w:val="en-GB"/>
        </w:rPr>
        <w:t xml:space="preserve"> the relationship between these two models is not merely an academic issue but also a matter of practical relevance. There is no consensus among the scholars as to which model should prevail in case of overlapping. Some authors argue that the rules of the owner/possessor model as a special and more recent law take precedence over those of unjustified enrichment.</w:t>
      </w:r>
      <w:r w:rsidRPr="000D6535">
        <w:rPr>
          <w:rStyle w:val="a3"/>
          <w:rFonts w:ascii="Times New Roman" w:hAnsi="Times New Roman" w:cs="Times New Roman"/>
          <w:sz w:val="28"/>
          <w:szCs w:val="28"/>
          <w:lang w:val="en-GB"/>
        </w:rPr>
        <w:footnoteReference w:id="16"/>
      </w:r>
      <w:r w:rsidRPr="000D6535">
        <w:rPr>
          <w:rFonts w:ascii="Times New Roman" w:hAnsi="Times New Roman" w:cs="Times New Roman"/>
          <w:sz w:val="28"/>
          <w:szCs w:val="28"/>
          <w:lang w:val="en-GB"/>
        </w:rPr>
        <w:t xml:space="preserve"> I don’t share this view, as the owner/possessor model is applicable only to proprietary remedies (e.g. </w:t>
      </w:r>
      <w:proofErr w:type="spellStart"/>
      <w:r w:rsidRPr="000D6535">
        <w:rPr>
          <w:rFonts w:ascii="Times New Roman" w:hAnsi="Times New Roman" w:cs="Times New Roman"/>
          <w:i/>
          <w:sz w:val="28"/>
          <w:szCs w:val="28"/>
          <w:lang w:val="en-GB"/>
        </w:rPr>
        <w:t>rei</w:t>
      </w:r>
      <w:proofErr w:type="spellEnd"/>
      <w:r w:rsidRPr="000D6535">
        <w:rPr>
          <w:rFonts w:ascii="Times New Roman" w:hAnsi="Times New Roman" w:cs="Times New Roman"/>
          <w:i/>
          <w:sz w:val="28"/>
          <w:szCs w:val="28"/>
          <w:lang w:val="en-GB"/>
        </w:rPr>
        <w:t xml:space="preserve"> </w:t>
      </w:r>
      <w:proofErr w:type="spellStart"/>
      <w:r w:rsidRPr="000D6535">
        <w:rPr>
          <w:rFonts w:ascii="Times New Roman" w:hAnsi="Times New Roman" w:cs="Times New Roman"/>
          <w:i/>
          <w:sz w:val="28"/>
          <w:szCs w:val="28"/>
          <w:lang w:val="en-GB"/>
        </w:rPr>
        <w:t>vindicatio</w:t>
      </w:r>
      <w:proofErr w:type="spellEnd"/>
      <w:r w:rsidRPr="000D6535">
        <w:rPr>
          <w:rFonts w:ascii="Times New Roman" w:hAnsi="Times New Roman" w:cs="Times New Roman"/>
          <w:sz w:val="28"/>
          <w:szCs w:val="28"/>
          <w:lang w:val="en-GB"/>
        </w:rPr>
        <w:t>). This approach was also adopted by the Slovenian Supreme Court.</w:t>
      </w:r>
      <w:r w:rsidRPr="000D6535">
        <w:rPr>
          <w:rStyle w:val="a3"/>
          <w:rFonts w:ascii="Times New Roman" w:hAnsi="Times New Roman" w:cs="Times New Roman"/>
          <w:sz w:val="28"/>
          <w:szCs w:val="28"/>
          <w:lang w:val="en-GB"/>
        </w:rPr>
        <w:footnoteReference w:id="17"/>
      </w:r>
      <w:r w:rsidRPr="000D6535">
        <w:rPr>
          <w:rFonts w:ascii="Times New Roman" w:hAnsi="Times New Roman" w:cs="Times New Roman"/>
          <w:sz w:val="28"/>
          <w:szCs w:val="28"/>
          <w:lang w:val="en-GB"/>
        </w:rPr>
        <w:t xml:space="preserve">  </w:t>
      </w:r>
    </w:p>
    <w:p w:rsidR="00B313BF" w:rsidRPr="00D77ABE" w:rsidRDefault="00B313BF">
      <w:pPr>
        <w:rPr>
          <w:lang w:val="en-GB"/>
        </w:rPr>
      </w:pPr>
    </w:p>
    <w:sectPr w:rsidR="00B313BF" w:rsidRPr="00D77ABE" w:rsidSect="004230B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8D" w:rsidRDefault="0017358D" w:rsidP="00D77ABE">
      <w:pPr>
        <w:spacing w:before="0" w:after="0" w:line="240" w:lineRule="auto"/>
      </w:pPr>
      <w:r>
        <w:separator/>
      </w:r>
    </w:p>
  </w:endnote>
  <w:endnote w:type="continuationSeparator" w:id="0">
    <w:p w:rsidR="0017358D" w:rsidRDefault="0017358D" w:rsidP="00D77A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8D" w:rsidRDefault="0017358D" w:rsidP="00D77ABE">
      <w:pPr>
        <w:spacing w:before="0" w:after="0" w:line="240" w:lineRule="auto"/>
      </w:pPr>
      <w:r>
        <w:separator/>
      </w:r>
    </w:p>
  </w:footnote>
  <w:footnote w:type="continuationSeparator" w:id="0">
    <w:p w:rsidR="0017358D" w:rsidRDefault="0017358D" w:rsidP="00D77ABE">
      <w:pPr>
        <w:spacing w:before="0" w:after="0" w:line="240" w:lineRule="auto"/>
      </w:pPr>
      <w:r>
        <w:continuationSeparator/>
      </w:r>
    </w:p>
  </w:footnote>
  <w:footnote w:id="1">
    <w:p w:rsidR="000D6535" w:rsidRPr="004230B0" w:rsidRDefault="000D6535" w:rsidP="000D6535">
      <w:pPr>
        <w:pStyle w:val="a4"/>
        <w:rPr>
          <w:rFonts w:ascii="Times New Roman" w:hAnsi="Times New Roman" w:cs="Times New Roman"/>
          <w:lang w:val="sl-SI"/>
        </w:rPr>
      </w:pPr>
      <w:r w:rsidRPr="000D6535">
        <w:rPr>
          <w:rStyle w:val="a3"/>
        </w:rPr>
        <w:sym w:font="Symbol" w:char="F02A"/>
      </w:r>
      <w:r>
        <w:t xml:space="preserve"> </w:t>
      </w:r>
      <w:r w:rsidRPr="004230B0">
        <w:rPr>
          <w:rFonts w:ascii="Times New Roman" w:hAnsi="Times New Roman" w:cs="Times New Roman"/>
        </w:rPr>
        <w:t>Teaching and Research Assistant, Chair of Civil Law, Faculty of Law, University of Ljubljana, Slovenia, karmen.lutman@pf.uni-lj.si.</w:t>
      </w:r>
    </w:p>
  </w:footnote>
  <w:footnote w:id="2">
    <w:p w:rsidR="00D77ABE" w:rsidRPr="004230B0" w:rsidRDefault="00D77ABE" w:rsidP="00D77ABE">
      <w:pPr>
        <w:pStyle w:val="a4"/>
        <w:rPr>
          <w:rFonts w:ascii="Times New Roman" w:hAnsi="Times New Roman" w:cs="Times New Roman"/>
        </w:rPr>
      </w:pPr>
      <w:r w:rsidRPr="004230B0">
        <w:rPr>
          <w:rStyle w:val="a3"/>
          <w:rFonts w:ascii="Times New Roman" w:hAnsi="Times New Roman" w:cs="Times New Roman"/>
        </w:rPr>
        <w:footnoteRef/>
      </w:r>
      <w:r w:rsidRPr="004230B0">
        <w:rPr>
          <w:rFonts w:ascii="Times New Roman" w:hAnsi="Times New Roman" w:cs="Times New Roman"/>
        </w:rPr>
        <w:t xml:space="preserve"> See e.g. S. </w:t>
      </w:r>
      <w:proofErr w:type="spellStart"/>
      <w:r w:rsidRPr="004230B0">
        <w:rPr>
          <w:rFonts w:ascii="Times New Roman" w:hAnsi="Times New Roman" w:cs="Times New Roman"/>
        </w:rPr>
        <w:t>Lapajne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i/>
        </w:rPr>
        <w:t>Današnje</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kondikcije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Juridična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fakulteta</w:t>
      </w:r>
      <w:proofErr w:type="spellEnd"/>
      <w:r w:rsidRPr="004230B0">
        <w:rPr>
          <w:rFonts w:ascii="Times New Roman" w:hAnsi="Times New Roman" w:cs="Times New Roman"/>
        </w:rPr>
        <w:t xml:space="preserve">, Ljubljana 1926; S. </w:t>
      </w:r>
      <w:proofErr w:type="spellStart"/>
      <w:r w:rsidRPr="004230B0">
        <w:rPr>
          <w:rFonts w:ascii="Times New Roman" w:hAnsi="Times New Roman" w:cs="Times New Roman"/>
        </w:rPr>
        <w:t>Lapajne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Reparacije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civilnega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prava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Juridična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fakulteta</w:t>
      </w:r>
      <w:proofErr w:type="spellEnd"/>
      <w:r w:rsidRPr="004230B0">
        <w:rPr>
          <w:rFonts w:ascii="Times New Roman" w:hAnsi="Times New Roman" w:cs="Times New Roman"/>
        </w:rPr>
        <w:t>, Ljubljana 1927.</w:t>
      </w:r>
    </w:p>
  </w:footnote>
  <w:footnote w:id="3">
    <w:p w:rsidR="00D77ABE" w:rsidRPr="004230B0" w:rsidRDefault="00D77ABE" w:rsidP="00D77ABE">
      <w:pPr>
        <w:pStyle w:val="a4"/>
        <w:rPr>
          <w:rFonts w:ascii="Times New Roman" w:hAnsi="Times New Roman" w:cs="Times New Roman"/>
        </w:rPr>
      </w:pPr>
      <w:r w:rsidRPr="004230B0">
        <w:rPr>
          <w:rStyle w:val="a3"/>
          <w:rFonts w:ascii="Times New Roman" w:hAnsi="Times New Roman" w:cs="Times New Roman"/>
        </w:rPr>
        <w:footnoteRef/>
      </w:r>
      <w:r w:rsidRPr="004230B0">
        <w:rPr>
          <w:rFonts w:ascii="Times New Roman" w:hAnsi="Times New Roman" w:cs="Times New Roman"/>
        </w:rPr>
        <w:t xml:space="preserve"> M. </w:t>
      </w:r>
      <w:proofErr w:type="spellStart"/>
      <w:r w:rsidRPr="004230B0">
        <w:rPr>
          <w:rFonts w:ascii="Times New Roman" w:hAnsi="Times New Roman" w:cs="Times New Roman"/>
        </w:rPr>
        <w:t>Konstantinović</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i/>
        </w:rPr>
        <w:t>Obligacije</w:t>
      </w:r>
      <w:proofErr w:type="spellEnd"/>
      <w:r w:rsidRPr="004230B0">
        <w:rPr>
          <w:rFonts w:ascii="Times New Roman" w:hAnsi="Times New Roman" w:cs="Times New Roman"/>
          <w:i/>
        </w:rPr>
        <w:t xml:space="preserve"> I </w:t>
      </w:r>
      <w:proofErr w:type="spellStart"/>
      <w:r w:rsidRPr="004230B0">
        <w:rPr>
          <w:rFonts w:ascii="Times New Roman" w:hAnsi="Times New Roman" w:cs="Times New Roman"/>
          <w:i/>
        </w:rPr>
        <w:t>ugovori</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skica</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za</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zakonik</w:t>
      </w:r>
      <w:proofErr w:type="spellEnd"/>
      <w:r w:rsidRPr="004230B0">
        <w:rPr>
          <w:rFonts w:ascii="Times New Roman" w:hAnsi="Times New Roman" w:cs="Times New Roman"/>
          <w:i/>
        </w:rPr>
        <w:t xml:space="preserve"> o </w:t>
      </w:r>
      <w:proofErr w:type="spellStart"/>
      <w:r w:rsidRPr="004230B0">
        <w:rPr>
          <w:rFonts w:ascii="Times New Roman" w:hAnsi="Times New Roman" w:cs="Times New Roman"/>
          <w:i/>
        </w:rPr>
        <w:t>obligacijama</w:t>
      </w:r>
      <w:proofErr w:type="spellEnd"/>
      <w:r w:rsidRPr="004230B0">
        <w:rPr>
          <w:rFonts w:ascii="Times New Roman" w:hAnsi="Times New Roman" w:cs="Times New Roman"/>
          <w:i/>
        </w:rPr>
        <w:t xml:space="preserve"> I </w:t>
      </w:r>
      <w:proofErr w:type="spellStart"/>
      <w:r w:rsidRPr="004230B0">
        <w:rPr>
          <w:rFonts w:ascii="Times New Roman" w:hAnsi="Times New Roman" w:cs="Times New Roman"/>
          <w:i/>
        </w:rPr>
        <w:t>ugovorima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Centar</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za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dokumentaciju</w:t>
      </w:r>
      <w:proofErr w:type="spellEnd"/>
      <w:r w:rsidRPr="004230B0">
        <w:rPr>
          <w:rFonts w:ascii="Times New Roman" w:hAnsi="Times New Roman" w:cs="Times New Roman"/>
        </w:rPr>
        <w:t xml:space="preserve"> i </w:t>
      </w:r>
      <w:proofErr w:type="spellStart"/>
      <w:r w:rsidRPr="004230B0">
        <w:rPr>
          <w:rFonts w:ascii="Times New Roman" w:hAnsi="Times New Roman" w:cs="Times New Roman"/>
        </w:rPr>
        <w:t>publikacije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Pravnog</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fakulteta</w:t>
      </w:r>
      <w:proofErr w:type="spellEnd"/>
      <w:r w:rsidRPr="004230B0">
        <w:rPr>
          <w:rFonts w:ascii="Times New Roman" w:hAnsi="Times New Roman" w:cs="Times New Roman"/>
        </w:rPr>
        <w:t>, Belgrade 1969.</w:t>
      </w:r>
    </w:p>
  </w:footnote>
  <w:footnote w:id="4">
    <w:p w:rsidR="00D77ABE" w:rsidRPr="004230B0" w:rsidRDefault="00D77ABE" w:rsidP="00D77ABE">
      <w:pPr>
        <w:pStyle w:val="a4"/>
        <w:rPr>
          <w:rFonts w:ascii="Times New Roman" w:hAnsi="Times New Roman" w:cs="Times New Roman"/>
          <w:lang w:val="de-DE"/>
        </w:rPr>
      </w:pPr>
      <w:r w:rsidRPr="004230B0">
        <w:rPr>
          <w:rStyle w:val="a3"/>
          <w:rFonts w:ascii="Times New Roman" w:hAnsi="Times New Roman" w:cs="Times New Roman"/>
        </w:rPr>
        <w:footnoteRef/>
      </w:r>
      <w:r w:rsidRPr="004230B0">
        <w:rPr>
          <w:rFonts w:ascii="Times New Roman" w:hAnsi="Times New Roman" w:cs="Times New Roman"/>
          <w:lang w:val="de-DE"/>
        </w:rPr>
        <w:t xml:space="preserve"> Z. Povh, Jugoslawien: Gesetz über Schuldverhältnisse (Obligationenverhältnisse), Jahrbuch für Ostrecht XXIX (1988), 292.</w:t>
      </w:r>
    </w:p>
  </w:footnote>
  <w:footnote w:id="5">
    <w:p w:rsidR="00D77ABE" w:rsidRPr="004230B0" w:rsidRDefault="00D77ABE" w:rsidP="00D77ABE">
      <w:pPr>
        <w:pStyle w:val="a4"/>
        <w:rPr>
          <w:rFonts w:ascii="Times New Roman" w:hAnsi="Times New Roman" w:cs="Times New Roman"/>
        </w:rPr>
      </w:pPr>
      <w:r w:rsidRPr="004230B0">
        <w:rPr>
          <w:rStyle w:val="a3"/>
          <w:rFonts w:ascii="Times New Roman" w:hAnsi="Times New Roman" w:cs="Times New Roman"/>
        </w:rPr>
        <w:footnoteRef/>
      </w:r>
      <w:r w:rsidRPr="004230B0">
        <w:rPr>
          <w:rFonts w:ascii="Times New Roman" w:hAnsi="Times New Roman" w:cs="Times New Roman"/>
        </w:rPr>
        <w:t xml:space="preserve"> Section 190 para. 1 of the Code of Obligations.</w:t>
      </w:r>
    </w:p>
  </w:footnote>
  <w:footnote w:id="6">
    <w:p w:rsidR="00D77ABE" w:rsidRPr="004230B0" w:rsidRDefault="00D77ABE" w:rsidP="00D77ABE">
      <w:pPr>
        <w:pStyle w:val="a4"/>
        <w:rPr>
          <w:rFonts w:ascii="Times New Roman" w:hAnsi="Times New Roman" w:cs="Times New Roman"/>
        </w:rPr>
      </w:pPr>
      <w:r w:rsidRPr="004230B0">
        <w:rPr>
          <w:rStyle w:val="a3"/>
          <w:rFonts w:ascii="Times New Roman" w:hAnsi="Times New Roman" w:cs="Times New Roman"/>
        </w:rPr>
        <w:footnoteRef/>
      </w:r>
      <w:r w:rsidRPr="004230B0">
        <w:rPr>
          <w:rFonts w:ascii="Times New Roman" w:hAnsi="Times New Roman" w:cs="Times New Roman"/>
        </w:rPr>
        <w:t xml:space="preserve"> See e.g. R. </w:t>
      </w:r>
      <w:proofErr w:type="spellStart"/>
      <w:r w:rsidRPr="004230B0">
        <w:rPr>
          <w:rFonts w:ascii="Times New Roman" w:hAnsi="Times New Roman" w:cs="Times New Roman"/>
        </w:rPr>
        <w:t>Vrenčur</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Splošna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razvrstitev</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obogatitvenih</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obveznosti</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i/>
        </w:rPr>
        <w:t>Zbornik</w:t>
      </w:r>
      <w:proofErr w:type="spellEnd"/>
      <w:r w:rsidRPr="004230B0">
        <w:rPr>
          <w:rFonts w:ascii="Times New Roman" w:hAnsi="Times New Roman" w:cs="Times New Roman"/>
          <w:i/>
        </w:rPr>
        <w:t xml:space="preserve"> 2. </w:t>
      </w:r>
      <w:proofErr w:type="spellStart"/>
      <w:r w:rsidRPr="004230B0">
        <w:rPr>
          <w:rFonts w:ascii="Times New Roman" w:hAnsi="Times New Roman" w:cs="Times New Roman"/>
          <w:i/>
        </w:rPr>
        <w:t>Dnevov</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stvarnega</w:t>
      </w:r>
      <w:proofErr w:type="spellEnd"/>
      <w:r w:rsidRPr="004230B0">
        <w:rPr>
          <w:rFonts w:ascii="Times New Roman" w:hAnsi="Times New Roman" w:cs="Times New Roman"/>
          <w:i/>
        </w:rPr>
        <w:t xml:space="preserve"> in </w:t>
      </w:r>
      <w:proofErr w:type="spellStart"/>
      <w:r w:rsidRPr="004230B0">
        <w:rPr>
          <w:rFonts w:ascii="Times New Roman" w:hAnsi="Times New Roman" w:cs="Times New Roman"/>
          <w:i/>
        </w:rPr>
        <w:t>zemljiškoknjižnega</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prava</w:t>
      </w:r>
      <w:proofErr w:type="spellEnd"/>
      <w:r w:rsidRPr="004230B0">
        <w:rPr>
          <w:rFonts w:ascii="Times New Roman" w:hAnsi="Times New Roman" w:cs="Times New Roman"/>
        </w:rPr>
        <w:t xml:space="preserve"> </w:t>
      </w:r>
      <w:r w:rsidRPr="004230B0">
        <w:rPr>
          <w:rFonts w:ascii="Times New Roman" w:hAnsi="Times New Roman" w:cs="Times New Roman"/>
          <w:i/>
        </w:rPr>
        <w:t>2010</w:t>
      </w:r>
      <w:r w:rsidRPr="004230B0">
        <w:rPr>
          <w:rFonts w:ascii="Times New Roman" w:hAnsi="Times New Roman" w:cs="Times New Roman"/>
        </w:rPr>
        <w:t xml:space="preserve">, 81-100; Z. </w:t>
      </w:r>
      <w:proofErr w:type="spellStart"/>
      <w:r w:rsidRPr="004230B0">
        <w:rPr>
          <w:rFonts w:ascii="Times New Roman" w:hAnsi="Times New Roman" w:cs="Times New Roman"/>
        </w:rPr>
        <w:t>Strajnar</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Verzije</w:t>
      </w:r>
      <w:proofErr w:type="spellEnd"/>
      <w:r w:rsidRPr="004230B0">
        <w:rPr>
          <w:rFonts w:ascii="Times New Roman" w:hAnsi="Times New Roman" w:cs="Times New Roman"/>
        </w:rPr>
        <w:t xml:space="preserve"> – </w:t>
      </w:r>
      <w:proofErr w:type="spellStart"/>
      <w:r w:rsidRPr="004230B0">
        <w:rPr>
          <w:rFonts w:ascii="Times New Roman" w:hAnsi="Times New Roman" w:cs="Times New Roman"/>
        </w:rPr>
        <w:t>predpostavke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obseg</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vračanja</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ter</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razmerje</w:t>
      </w:r>
      <w:proofErr w:type="spellEnd"/>
      <w:r w:rsidRPr="004230B0">
        <w:rPr>
          <w:rFonts w:ascii="Times New Roman" w:hAnsi="Times New Roman" w:cs="Times New Roman"/>
        </w:rPr>
        <w:t xml:space="preserve"> med </w:t>
      </w:r>
      <w:proofErr w:type="spellStart"/>
      <w:r w:rsidRPr="004230B0">
        <w:rPr>
          <w:rFonts w:ascii="Times New Roman" w:hAnsi="Times New Roman" w:cs="Times New Roman"/>
        </w:rPr>
        <w:t>obligacijskopravnimi</w:t>
      </w:r>
      <w:proofErr w:type="spellEnd"/>
      <w:r w:rsidRPr="004230B0">
        <w:rPr>
          <w:rFonts w:ascii="Times New Roman" w:hAnsi="Times New Roman" w:cs="Times New Roman"/>
        </w:rPr>
        <w:t xml:space="preserve"> in </w:t>
      </w:r>
      <w:proofErr w:type="spellStart"/>
      <w:r w:rsidRPr="004230B0">
        <w:rPr>
          <w:rFonts w:ascii="Times New Roman" w:hAnsi="Times New Roman" w:cs="Times New Roman"/>
        </w:rPr>
        <w:t>stvarnopravnimi</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povračilnimi</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zahtevki</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i/>
        </w:rPr>
        <w:t>Pravosodni</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bilten</w:t>
      </w:r>
      <w:proofErr w:type="spellEnd"/>
      <w:r w:rsidRPr="004230B0">
        <w:rPr>
          <w:rFonts w:ascii="Times New Roman" w:hAnsi="Times New Roman" w:cs="Times New Roman"/>
          <w:i/>
        </w:rPr>
        <w:t xml:space="preserve"> 33/1 (2012)</w:t>
      </w:r>
      <w:r w:rsidRPr="004230B0">
        <w:rPr>
          <w:rFonts w:ascii="Times New Roman" w:hAnsi="Times New Roman" w:cs="Times New Roman"/>
        </w:rPr>
        <w:t xml:space="preserve">, 11-32; M. </w:t>
      </w:r>
      <w:proofErr w:type="spellStart"/>
      <w:r w:rsidRPr="004230B0">
        <w:rPr>
          <w:rFonts w:ascii="Times New Roman" w:hAnsi="Times New Roman" w:cs="Times New Roman"/>
        </w:rPr>
        <w:t>Dolenc</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Pravne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posledice</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ničnosti</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pogodbe</w:t>
      </w:r>
      <w:proofErr w:type="spellEnd"/>
      <w:r w:rsidRPr="004230B0">
        <w:rPr>
          <w:rFonts w:ascii="Times New Roman" w:hAnsi="Times New Roman" w:cs="Times New Roman"/>
        </w:rPr>
        <w:t xml:space="preserve"> (o </w:t>
      </w:r>
      <w:proofErr w:type="spellStart"/>
      <w:r w:rsidRPr="004230B0">
        <w:rPr>
          <w:rFonts w:ascii="Times New Roman" w:hAnsi="Times New Roman" w:cs="Times New Roman"/>
        </w:rPr>
        <w:t>nekaterih</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problemih</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kondikcijskih</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rPr>
        <w:t>zahtevkov</w:t>
      </w:r>
      <w:proofErr w:type="spellEnd"/>
      <w:r w:rsidRPr="004230B0">
        <w:rPr>
          <w:rFonts w:ascii="Times New Roman" w:hAnsi="Times New Roman" w:cs="Times New Roman"/>
        </w:rPr>
        <w:t xml:space="preserve">), </w:t>
      </w:r>
      <w:proofErr w:type="spellStart"/>
      <w:r w:rsidRPr="004230B0">
        <w:rPr>
          <w:rFonts w:ascii="Times New Roman" w:hAnsi="Times New Roman" w:cs="Times New Roman"/>
          <w:i/>
        </w:rPr>
        <w:t>Pravni</w:t>
      </w:r>
      <w:proofErr w:type="spellEnd"/>
      <w:r w:rsidRPr="004230B0">
        <w:rPr>
          <w:rFonts w:ascii="Times New Roman" w:hAnsi="Times New Roman" w:cs="Times New Roman"/>
          <w:i/>
        </w:rPr>
        <w:t xml:space="preserve"> </w:t>
      </w:r>
      <w:proofErr w:type="spellStart"/>
      <w:r w:rsidRPr="004230B0">
        <w:rPr>
          <w:rFonts w:ascii="Times New Roman" w:hAnsi="Times New Roman" w:cs="Times New Roman"/>
          <w:i/>
        </w:rPr>
        <w:t>letopis</w:t>
      </w:r>
      <w:proofErr w:type="spellEnd"/>
      <w:r w:rsidRPr="004230B0">
        <w:rPr>
          <w:rFonts w:ascii="Times New Roman" w:hAnsi="Times New Roman" w:cs="Times New Roman"/>
          <w:i/>
        </w:rPr>
        <w:t xml:space="preserve"> 2011</w:t>
      </w:r>
      <w:r w:rsidRPr="004230B0">
        <w:rPr>
          <w:rFonts w:ascii="Times New Roman" w:hAnsi="Times New Roman" w:cs="Times New Roman"/>
        </w:rPr>
        <w:t xml:space="preserve">, 19-32. </w:t>
      </w:r>
    </w:p>
  </w:footnote>
  <w:footnote w:id="7">
    <w:p w:rsidR="00D77ABE" w:rsidRPr="004230B0" w:rsidRDefault="00D77ABE" w:rsidP="00D77ABE">
      <w:pPr>
        <w:pStyle w:val="a4"/>
        <w:rPr>
          <w:rFonts w:ascii="Times New Roman" w:hAnsi="Times New Roman" w:cs="Times New Roman"/>
          <w:lang w:val="de-DE"/>
        </w:rPr>
      </w:pPr>
      <w:r w:rsidRPr="004230B0">
        <w:rPr>
          <w:rStyle w:val="a3"/>
          <w:rFonts w:ascii="Times New Roman" w:hAnsi="Times New Roman" w:cs="Times New Roman"/>
        </w:rPr>
        <w:footnoteRef/>
      </w:r>
      <w:r w:rsidRPr="004230B0">
        <w:rPr>
          <w:rFonts w:ascii="Times New Roman" w:hAnsi="Times New Roman" w:cs="Times New Roman"/>
          <w:lang w:val="de-DE"/>
        </w:rPr>
        <w:t xml:space="preserve"> W. Wilburg, </w:t>
      </w:r>
      <w:r w:rsidRPr="004230B0">
        <w:rPr>
          <w:rFonts w:ascii="Times New Roman" w:hAnsi="Times New Roman" w:cs="Times New Roman"/>
          <w:i/>
          <w:lang w:val="de-DE"/>
        </w:rPr>
        <w:t>Die Lehre von der ungerechtfertigten Bereicherung nach österreichischem und deutschem Recht</w:t>
      </w:r>
      <w:r w:rsidRPr="004230B0">
        <w:rPr>
          <w:rFonts w:ascii="Times New Roman" w:hAnsi="Times New Roman" w:cs="Times New Roman"/>
          <w:lang w:val="de-DE"/>
        </w:rPr>
        <w:t xml:space="preserve">, Leuschner &amp; Lubensky, Graz, 1934; E. von Caemmerer, Bereicherung und unerlaubte Handlung, </w:t>
      </w:r>
      <w:r w:rsidRPr="004230B0">
        <w:rPr>
          <w:rFonts w:ascii="Times New Roman" w:hAnsi="Times New Roman" w:cs="Times New Roman"/>
          <w:i/>
          <w:lang w:val="de-DE"/>
        </w:rPr>
        <w:t>Festschrift für Ernst Rabel</w:t>
      </w:r>
      <w:r w:rsidRPr="004230B0">
        <w:rPr>
          <w:rFonts w:ascii="Times New Roman" w:hAnsi="Times New Roman" w:cs="Times New Roman"/>
          <w:lang w:val="de-DE"/>
        </w:rPr>
        <w:t xml:space="preserve"> (eds. H. Döllte, M. Rheinstein, K. Zweigert), Vol. 1, Mohr, Tübingen, 1954.</w:t>
      </w:r>
    </w:p>
  </w:footnote>
  <w:footnote w:id="8">
    <w:p w:rsidR="00D77ABE" w:rsidRPr="004230B0" w:rsidRDefault="00D77ABE" w:rsidP="00D77ABE">
      <w:pPr>
        <w:pStyle w:val="a4"/>
        <w:rPr>
          <w:rFonts w:ascii="Times New Roman" w:hAnsi="Times New Roman" w:cs="Times New Roman"/>
          <w:lang w:val="de-DE"/>
        </w:rPr>
      </w:pPr>
      <w:r w:rsidRPr="004230B0">
        <w:rPr>
          <w:rStyle w:val="a3"/>
          <w:rFonts w:ascii="Times New Roman" w:hAnsi="Times New Roman" w:cs="Times New Roman"/>
          <w:lang w:val="en-GB"/>
        </w:rPr>
        <w:footnoteRef/>
      </w:r>
      <w:r w:rsidRPr="004230B0">
        <w:rPr>
          <w:rFonts w:ascii="Times New Roman" w:hAnsi="Times New Roman" w:cs="Times New Roman"/>
          <w:lang w:val="de-DE"/>
        </w:rPr>
        <w:t xml:space="preserve"> For instance P. Birks.</w:t>
      </w:r>
    </w:p>
  </w:footnote>
  <w:footnote w:id="9">
    <w:p w:rsidR="00D77ABE" w:rsidRPr="004230B0" w:rsidRDefault="00D77ABE" w:rsidP="00D77ABE">
      <w:pPr>
        <w:pStyle w:val="a4"/>
        <w:rPr>
          <w:rFonts w:ascii="Times New Roman" w:hAnsi="Times New Roman" w:cs="Times New Roman"/>
          <w:lang w:val="en-GB"/>
        </w:rPr>
      </w:pPr>
      <w:r w:rsidRPr="004230B0">
        <w:rPr>
          <w:rStyle w:val="a3"/>
          <w:rFonts w:ascii="Times New Roman" w:hAnsi="Times New Roman" w:cs="Times New Roman"/>
          <w:lang w:val="en-GB"/>
        </w:rPr>
        <w:footnoteRef/>
      </w:r>
      <w:r w:rsidRPr="004230B0">
        <w:rPr>
          <w:rFonts w:ascii="Times New Roman" w:hAnsi="Times New Roman" w:cs="Times New Roman"/>
          <w:lang w:val="en-GB"/>
        </w:rPr>
        <w:t xml:space="preserve"> N. Jansen, Farewell to Unjustified Enrichment</w:t>
      </w:r>
      <w:proofErr w:type="gramStart"/>
      <w:r w:rsidRPr="004230B0">
        <w:rPr>
          <w:rFonts w:ascii="Times New Roman" w:hAnsi="Times New Roman" w:cs="Times New Roman"/>
          <w:lang w:val="en-GB"/>
        </w:rPr>
        <w:t>?,</w:t>
      </w:r>
      <w:proofErr w:type="gramEnd"/>
      <w:r w:rsidRPr="004230B0">
        <w:rPr>
          <w:rFonts w:ascii="Times New Roman" w:hAnsi="Times New Roman" w:cs="Times New Roman"/>
          <w:lang w:val="en-GB"/>
        </w:rPr>
        <w:t xml:space="preserve"> </w:t>
      </w:r>
      <w:r w:rsidRPr="004230B0">
        <w:rPr>
          <w:rFonts w:ascii="Times New Roman" w:hAnsi="Times New Roman" w:cs="Times New Roman"/>
          <w:i/>
          <w:lang w:val="en-GB"/>
        </w:rPr>
        <w:t xml:space="preserve">Edinburgh Law Review, Vol. 20, Issue </w:t>
      </w:r>
      <w:r w:rsidRPr="004230B0">
        <w:rPr>
          <w:rFonts w:ascii="Times New Roman" w:hAnsi="Times New Roman" w:cs="Times New Roman"/>
          <w:lang w:val="en-GB"/>
        </w:rPr>
        <w:t>2, 123-148.</w:t>
      </w:r>
    </w:p>
  </w:footnote>
  <w:footnote w:id="10">
    <w:p w:rsidR="00D77ABE" w:rsidRPr="004230B0" w:rsidRDefault="00D77ABE" w:rsidP="00D77ABE">
      <w:pPr>
        <w:pStyle w:val="a4"/>
        <w:rPr>
          <w:rFonts w:ascii="Times New Roman" w:hAnsi="Times New Roman" w:cs="Times New Roman"/>
          <w:lang w:val="en-GB"/>
        </w:rPr>
      </w:pPr>
      <w:r w:rsidRPr="004230B0">
        <w:rPr>
          <w:rStyle w:val="a3"/>
          <w:rFonts w:ascii="Times New Roman" w:hAnsi="Times New Roman" w:cs="Times New Roman"/>
          <w:lang w:val="en-GB"/>
        </w:rPr>
        <w:footnoteRef/>
      </w:r>
      <w:r w:rsidRPr="004230B0">
        <w:rPr>
          <w:rFonts w:ascii="Times New Roman" w:hAnsi="Times New Roman" w:cs="Times New Roman"/>
          <w:lang w:val="en-GB"/>
        </w:rPr>
        <w:t xml:space="preserve"> Section 190 para. 1 of the Code of Obligations.</w:t>
      </w:r>
    </w:p>
  </w:footnote>
  <w:footnote w:id="11">
    <w:p w:rsidR="00D77ABE" w:rsidRPr="004230B0" w:rsidRDefault="00D77ABE" w:rsidP="00D77ABE">
      <w:pPr>
        <w:pStyle w:val="a4"/>
        <w:rPr>
          <w:rFonts w:ascii="Times New Roman" w:hAnsi="Times New Roman" w:cs="Times New Roman"/>
          <w:lang w:val="en-GB"/>
        </w:rPr>
      </w:pPr>
      <w:r w:rsidRPr="004230B0">
        <w:rPr>
          <w:rStyle w:val="a3"/>
          <w:rFonts w:ascii="Times New Roman" w:hAnsi="Times New Roman" w:cs="Times New Roman"/>
          <w:lang w:val="en-GB"/>
        </w:rPr>
        <w:footnoteRef/>
      </w:r>
      <w:r w:rsidRPr="004230B0">
        <w:rPr>
          <w:rFonts w:ascii="Times New Roman" w:hAnsi="Times New Roman" w:cs="Times New Roman"/>
          <w:lang w:val="en-GB"/>
        </w:rPr>
        <w:t xml:space="preserve"> Section 195 of the Code of Obligations.</w:t>
      </w:r>
    </w:p>
  </w:footnote>
  <w:footnote w:id="12">
    <w:p w:rsidR="00D77ABE" w:rsidRPr="004230B0" w:rsidRDefault="00D77ABE" w:rsidP="00D77ABE">
      <w:pPr>
        <w:pStyle w:val="a4"/>
        <w:rPr>
          <w:rFonts w:ascii="Times New Roman" w:hAnsi="Times New Roman" w:cs="Times New Roman"/>
          <w:lang w:val="en-GB"/>
        </w:rPr>
      </w:pPr>
      <w:r w:rsidRPr="004230B0">
        <w:rPr>
          <w:rStyle w:val="a3"/>
          <w:rFonts w:ascii="Times New Roman" w:hAnsi="Times New Roman" w:cs="Times New Roman"/>
          <w:lang w:val="en-GB"/>
        </w:rPr>
        <w:footnoteRef/>
      </w:r>
      <w:r w:rsidRPr="004230B0">
        <w:rPr>
          <w:rFonts w:ascii="Times New Roman" w:hAnsi="Times New Roman" w:cs="Times New Roman"/>
          <w:lang w:val="en-GB"/>
        </w:rPr>
        <w:t xml:space="preserve"> Section 193 of the Code of Obligations.</w:t>
      </w:r>
    </w:p>
  </w:footnote>
  <w:footnote w:id="13">
    <w:p w:rsidR="00D77ABE" w:rsidRPr="004230B0" w:rsidRDefault="00D77ABE" w:rsidP="00D77ABE">
      <w:pPr>
        <w:pStyle w:val="a4"/>
        <w:rPr>
          <w:rFonts w:ascii="Times New Roman" w:hAnsi="Times New Roman" w:cs="Times New Roman"/>
          <w:lang w:val="en-GB"/>
        </w:rPr>
      </w:pPr>
      <w:r w:rsidRPr="004230B0">
        <w:rPr>
          <w:rStyle w:val="a3"/>
          <w:rFonts w:ascii="Times New Roman" w:hAnsi="Times New Roman" w:cs="Times New Roman"/>
          <w:lang w:val="en-GB"/>
        </w:rPr>
        <w:footnoteRef/>
      </w:r>
      <w:r w:rsidRPr="004230B0">
        <w:rPr>
          <w:rFonts w:ascii="Times New Roman" w:hAnsi="Times New Roman" w:cs="Times New Roman"/>
          <w:lang w:val="en-GB"/>
        </w:rPr>
        <w:t xml:space="preserve"> Section 198 of the Code of Obligations.</w:t>
      </w:r>
    </w:p>
  </w:footnote>
  <w:footnote w:id="14">
    <w:p w:rsidR="00D77ABE" w:rsidRPr="004230B0" w:rsidRDefault="00D77ABE" w:rsidP="00D77ABE">
      <w:pPr>
        <w:pStyle w:val="a4"/>
        <w:rPr>
          <w:rFonts w:ascii="Times New Roman" w:hAnsi="Times New Roman" w:cs="Times New Roman"/>
        </w:rPr>
      </w:pPr>
      <w:r w:rsidRPr="004230B0">
        <w:rPr>
          <w:rStyle w:val="a3"/>
          <w:rFonts w:ascii="Times New Roman" w:hAnsi="Times New Roman" w:cs="Times New Roman"/>
          <w:lang w:val="en-GB"/>
        </w:rPr>
        <w:footnoteRef/>
      </w:r>
      <w:r w:rsidRPr="004230B0">
        <w:rPr>
          <w:rFonts w:ascii="Times New Roman" w:hAnsi="Times New Roman" w:cs="Times New Roman"/>
          <w:lang w:val="en-GB"/>
        </w:rPr>
        <w:t xml:space="preserve"> As enshrined in Articles 95 and 96 of the Law of Property Code (</w:t>
      </w:r>
      <w:proofErr w:type="spellStart"/>
      <w:r w:rsidRPr="004230B0">
        <w:rPr>
          <w:rFonts w:ascii="Times New Roman" w:hAnsi="Times New Roman" w:cs="Times New Roman"/>
          <w:lang w:val="en-GB"/>
        </w:rPr>
        <w:t>Stvarnopravni</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zakonik</w:t>
      </w:r>
      <w:proofErr w:type="spellEnd"/>
      <w:r w:rsidRPr="004230B0">
        <w:rPr>
          <w:rFonts w:ascii="Times New Roman" w:hAnsi="Times New Roman" w:cs="Times New Roman"/>
          <w:lang w:val="en-GB"/>
        </w:rPr>
        <w:t xml:space="preserve">, </w:t>
      </w:r>
      <w:r w:rsidRPr="004230B0">
        <w:rPr>
          <w:rFonts w:ascii="Times New Roman" w:hAnsi="Times New Roman" w:cs="Times New Roman"/>
          <w:i/>
          <w:lang w:val="en-GB"/>
        </w:rPr>
        <w:t>Official Gazette of Slovenia</w:t>
      </w:r>
      <w:r w:rsidRPr="004230B0">
        <w:rPr>
          <w:rFonts w:ascii="Times New Roman" w:hAnsi="Times New Roman" w:cs="Times New Roman"/>
          <w:lang w:val="en-GB"/>
        </w:rPr>
        <w:t xml:space="preserve">, No. 87/2002, 91/2013). </w:t>
      </w:r>
    </w:p>
  </w:footnote>
  <w:footnote w:id="15">
    <w:p w:rsidR="00D77ABE" w:rsidRPr="004230B0" w:rsidRDefault="00D77ABE" w:rsidP="00D77ABE">
      <w:pPr>
        <w:pStyle w:val="a4"/>
        <w:rPr>
          <w:rFonts w:ascii="Times New Roman" w:hAnsi="Times New Roman" w:cs="Times New Roman"/>
          <w:lang w:val="en-GB"/>
        </w:rPr>
      </w:pPr>
      <w:r w:rsidRPr="004230B0">
        <w:rPr>
          <w:rStyle w:val="a3"/>
          <w:rFonts w:ascii="Times New Roman" w:hAnsi="Times New Roman" w:cs="Times New Roman"/>
          <w:lang w:val="en-GB"/>
        </w:rPr>
        <w:footnoteRef/>
      </w:r>
      <w:r w:rsidRPr="004230B0">
        <w:rPr>
          <w:rFonts w:ascii="Times New Roman" w:hAnsi="Times New Roman" w:cs="Times New Roman"/>
          <w:lang w:val="en-GB"/>
        </w:rPr>
        <w:t xml:space="preserve"> Especially regarding the restitution of fruits, the reimbursement of expenses and compensation for the unauthorised use of the received object. For the details see e.g. K. </w:t>
      </w:r>
      <w:proofErr w:type="spellStart"/>
      <w:r w:rsidRPr="004230B0">
        <w:rPr>
          <w:rFonts w:ascii="Times New Roman" w:hAnsi="Times New Roman" w:cs="Times New Roman"/>
          <w:lang w:val="en-GB"/>
        </w:rPr>
        <w:t>Lutman</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Vračanje</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izpolnitev</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zaradi</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prenehanja</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pogodbe</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i/>
          <w:lang w:val="en-GB"/>
        </w:rPr>
        <w:t>Razsežnosti</w:t>
      </w:r>
      <w:proofErr w:type="spellEnd"/>
      <w:r w:rsidRPr="004230B0">
        <w:rPr>
          <w:rFonts w:ascii="Times New Roman" w:hAnsi="Times New Roman" w:cs="Times New Roman"/>
          <w:i/>
          <w:lang w:val="en-GB"/>
        </w:rPr>
        <w:t xml:space="preserve"> </w:t>
      </w:r>
      <w:proofErr w:type="spellStart"/>
      <w:r w:rsidRPr="004230B0">
        <w:rPr>
          <w:rFonts w:ascii="Times New Roman" w:hAnsi="Times New Roman" w:cs="Times New Roman"/>
          <w:i/>
          <w:lang w:val="en-GB"/>
        </w:rPr>
        <w:t>zasebnega</w:t>
      </w:r>
      <w:proofErr w:type="spellEnd"/>
      <w:r w:rsidRPr="004230B0">
        <w:rPr>
          <w:rFonts w:ascii="Times New Roman" w:hAnsi="Times New Roman" w:cs="Times New Roman"/>
          <w:i/>
          <w:lang w:val="en-GB"/>
        </w:rPr>
        <w:t xml:space="preserve"> </w:t>
      </w:r>
      <w:proofErr w:type="spellStart"/>
      <w:r w:rsidRPr="004230B0">
        <w:rPr>
          <w:rFonts w:ascii="Times New Roman" w:hAnsi="Times New Roman" w:cs="Times New Roman"/>
          <w:i/>
          <w:lang w:val="en-GB"/>
        </w:rPr>
        <w:t>prava</w:t>
      </w:r>
      <w:proofErr w:type="spellEnd"/>
      <w:r w:rsidRPr="004230B0">
        <w:rPr>
          <w:rFonts w:ascii="Times New Roman" w:hAnsi="Times New Roman" w:cs="Times New Roman"/>
          <w:lang w:val="en-GB"/>
        </w:rPr>
        <w:t xml:space="preserve"> (ed. </w:t>
      </w:r>
      <w:proofErr w:type="spellStart"/>
      <w:r w:rsidRPr="004230B0">
        <w:rPr>
          <w:rFonts w:ascii="Times New Roman" w:hAnsi="Times New Roman" w:cs="Times New Roman"/>
          <w:lang w:val="en-GB"/>
        </w:rPr>
        <w:t>Damjan</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Možina</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Pravna</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fakulteta</w:t>
      </w:r>
      <w:proofErr w:type="spellEnd"/>
      <w:r w:rsidRPr="004230B0">
        <w:rPr>
          <w:rFonts w:ascii="Times New Roman" w:hAnsi="Times New Roman" w:cs="Times New Roman"/>
          <w:lang w:val="en-GB"/>
        </w:rPr>
        <w:t xml:space="preserve"> v </w:t>
      </w:r>
      <w:proofErr w:type="spellStart"/>
      <w:r w:rsidRPr="004230B0">
        <w:rPr>
          <w:rFonts w:ascii="Times New Roman" w:hAnsi="Times New Roman" w:cs="Times New Roman"/>
          <w:lang w:val="en-GB"/>
        </w:rPr>
        <w:t>Ljubljani</w:t>
      </w:r>
      <w:proofErr w:type="spellEnd"/>
      <w:r w:rsidRPr="004230B0">
        <w:rPr>
          <w:rFonts w:ascii="Times New Roman" w:hAnsi="Times New Roman" w:cs="Times New Roman"/>
          <w:lang w:val="en-GB"/>
        </w:rPr>
        <w:t xml:space="preserve">, </w:t>
      </w:r>
      <w:proofErr w:type="spellStart"/>
      <w:r w:rsidRPr="004230B0">
        <w:rPr>
          <w:rFonts w:ascii="Times New Roman" w:hAnsi="Times New Roman" w:cs="Times New Roman"/>
          <w:lang w:val="en-GB"/>
        </w:rPr>
        <w:t>Litteralis</w:t>
      </w:r>
      <w:proofErr w:type="spellEnd"/>
      <w:r w:rsidRPr="004230B0">
        <w:rPr>
          <w:rFonts w:ascii="Times New Roman" w:hAnsi="Times New Roman" w:cs="Times New Roman"/>
          <w:lang w:val="en-GB"/>
        </w:rPr>
        <w:t>, Ljubljana 2017, 179.</w:t>
      </w:r>
    </w:p>
  </w:footnote>
  <w:footnote w:id="16">
    <w:p w:rsidR="00D77ABE" w:rsidRPr="004230B0" w:rsidRDefault="00D77ABE" w:rsidP="00D77ABE">
      <w:pPr>
        <w:pStyle w:val="a4"/>
        <w:rPr>
          <w:rFonts w:ascii="Times New Roman" w:hAnsi="Times New Roman" w:cs="Times New Roman"/>
        </w:rPr>
      </w:pPr>
      <w:r w:rsidRPr="004230B0">
        <w:rPr>
          <w:rStyle w:val="a3"/>
          <w:rFonts w:ascii="Times New Roman" w:hAnsi="Times New Roman" w:cs="Times New Roman"/>
        </w:rPr>
        <w:footnoteRef/>
      </w:r>
      <w:r w:rsidRPr="004230B0">
        <w:rPr>
          <w:rFonts w:ascii="Times New Roman" w:hAnsi="Times New Roman" w:cs="Times New Roman"/>
        </w:rPr>
        <w:t xml:space="preserve"> R. </w:t>
      </w:r>
      <w:proofErr w:type="spellStart"/>
      <w:r w:rsidRPr="004230B0">
        <w:rPr>
          <w:rFonts w:ascii="Times New Roman" w:hAnsi="Times New Roman" w:cs="Times New Roman"/>
        </w:rPr>
        <w:t>Vrenčur</w:t>
      </w:r>
      <w:proofErr w:type="spellEnd"/>
      <w:r w:rsidRPr="004230B0">
        <w:rPr>
          <w:rFonts w:ascii="Times New Roman" w:hAnsi="Times New Roman" w:cs="Times New Roman"/>
        </w:rPr>
        <w:t xml:space="preserve">, </w:t>
      </w:r>
      <w:proofErr w:type="spellStart"/>
      <w:r w:rsidR="00F57852" w:rsidRPr="004230B0">
        <w:rPr>
          <w:rFonts w:ascii="Times New Roman" w:hAnsi="Times New Roman" w:cs="Times New Roman"/>
        </w:rPr>
        <w:t>Splošna</w:t>
      </w:r>
      <w:proofErr w:type="spellEnd"/>
      <w:r w:rsidR="00F57852" w:rsidRPr="004230B0">
        <w:rPr>
          <w:rFonts w:ascii="Times New Roman" w:hAnsi="Times New Roman" w:cs="Times New Roman"/>
        </w:rPr>
        <w:t xml:space="preserve"> </w:t>
      </w:r>
      <w:proofErr w:type="spellStart"/>
      <w:r w:rsidR="00F57852" w:rsidRPr="004230B0">
        <w:rPr>
          <w:rFonts w:ascii="Times New Roman" w:hAnsi="Times New Roman" w:cs="Times New Roman"/>
        </w:rPr>
        <w:t>razvrstitev</w:t>
      </w:r>
      <w:proofErr w:type="spellEnd"/>
      <w:r w:rsidR="00F57852" w:rsidRPr="004230B0">
        <w:rPr>
          <w:rFonts w:ascii="Times New Roman" w:hAnsi="Times New Roman" w:cs="Times New Roman"/>
        </w:rPr>
        <w:t xml:space="preserve"> </w:t>
      </w:r>
      <w:proofErr w:type="spellStart"/>
      <w:r w:rsidR="00F57852" w:rsidRPr="004230B0">
        <w:rPr>
          <w:rFonts w:ascii="Times New Roman" w:hAnsi="Times New Roman" w:cs="Times New Roman"/>
        </w:rPr>
        <w:t>obogatitvenih</w:t>
      </w:r>
      <w:proofErr w:type="spellEnd"/>
      <w:r w:rsidR="00F57852" w:rsidRPr="004230B0">
        <w:rPr>
          <w:rFonts w:ascii="Times New Roman" w:hAnsi="Times New Roman" w:cs="Times New Roman"/>
        </w:rPr>
        <w:t xml:space="preserve"> </w:t>
      </w:r>
      <w:proofErr w:type="spellStart"/>
      <w:r w:rsidR="00F57852" w:rsidRPr="004230B0">
        <w:rPr>
          <w:rFonts w:ascii="Times New Roman" w:hAnsi="Times New Roman" w:cs="Times New Roman"/>
        </w:rPr>
        <w:t>obveznosti</w:t>
      </w:r>
      <w:proofErr w:type="spellEnd"/>
      <w:r w:rsidR="00F57852" w:rsidRPr="004230B0">
        <w:rPr>
          <w:rFonts w:ascii="Times New Roman" w:hAnsi="Times New Roman" w:cs="Times New Roman"/>
        </w:rPr>
        <w:t xml:space="preserve">, </w:t>
      </w:r>
      <w:proofErr w:type="spellStart"/>
      <w:r w:rsidR="00F57852" w:rsidRPr="004230B0">
        <w:rPr>
          <w:rFonts w:ascii="Times New Roman" w:hAnsi="Times New Roman" w:cs="Times New Roman"/>
          <w:i/>
        </w:rPr>
        <w:t>Zbornik</w:t>
      </w:r>
      <w:proofErr w:type="spellEnd"/>
      <w:r w:rsidR="00F57852" w:rsidRPr="004230B0">
        <w:rPr>
          <w:rFonts w:ascii="Times New Roman" w:hAnsi="Times New Roman" w:cs="Times New Roman"/>
          <w:i/>
        </w:rPr>
        <w:t xml:space="preserve"> 2. </w:t>
      </w:r>
      <w:proofErr w:type="spellStart"/>
      <w:r w:rsidR="00F57852" w:rsidRPr="004230B0">
        <w:rPr>
          <w:rFonts w:ascii="Times New Roman" w:hAnsi="Times New Roman" w:cs="Times New Roman"/>
          <w:i/>
        </w:rPr>
        <w:t>Dnevov</w:t>
      </w:r>
      <w:proofErr w:type="spellEnd"/>
      <w:r w:rsidR="00F57852" w:rsidRPr="004230B0">
        <w:rPr>
          <w:rFonts w:ascii="Times New Roman" w:hAnsi="Times New Roman" w:cs="Times New Roman"/>
          <w:i/>
        </w:rPr>
        <w:t xml:space="preserve"> </w:t>
      </w:r>
      <w:proofErr w:type="spellStart"/>
      <w:r w:rsidR="00F57852" w:rsidRPr="004230B0">
        <w:rPr>
          <w:rFonts w:ascii="Times New Roman" w:hAnsi="Times New Roman" w:cs="Times New Roman"/>
          <w:i/>
        </w:rPr>
        <w:t>stvarnega</w:t>
      </w:r>
      <w:proofErr w:type="spellEnd"/>
      <w:r w:rsidR="00F57852" w:rsidRPr="004230B0">
        <w:rPr>
          <w:rFonts w:ascii="Times New Roman" w:hAnsi="Times New Roman" w:cs="Times New Roman"/>
          <w:i/>
        </w:rPr>
        <w:t xml:space="preserve"> in </w:t>
      </w:r>
      <w:proofErr w:type="spellStart"/>
      <w:r w:rsidR="00F57852" w:rsidRPr="004230B0">
        <w:rPr>
          <w:rFonts w:ascii="Times New Roman" w:hAnsi="Times New Roman" w:cs="Times New Roman"/>
          <w:i/>
        </w:rPr>
        <w:t>zemljiškoknjižnega</w:t>
      </w:r>
      <w:proofErr w:type="spellEnd"/>
      <w:r w:rsidR="00F57852" w:rsidRPr="004230B0">
        <w:rPr>
          <w:rFonts w:ascii="Times New Roman" w:hAnsi="Times New Roman" w:cs="Times New Roman"/>
          <w:i/>
        </w:rPr>
        <w:t xml:space="preserve"> </w:t>
      </w:r>
      <w:proofErr w:type="spellStart"/>
      <w:r w:rsidR="00F57852" w:rsidRPr="004230B0">
        <w:rPr>
          <w:rFonts w:ascii="Times New Roman" w:hAnsi="Times New Roman" w:cs="Times New Roman"/>
          <w:i/>
        </w:rPr>
        <w:t>prava</w:t>
      </w:r>
      <w:proofErr w:type="spellEnd"/>
      <w:r w:rsidR="00F57852" w:rsidRPr="004230B0">
        <w:rPr>
          <w:rFonts w:ascii="Times New Roman" w:hAnsi="Times New Roman" w:cs="Times New Roman"/>
        </w:rPr>
        <w:t xml:space="preserve"> </w:t>
      </w:r>
      <w:r w:rsidR="00F57852" w:rsidRPr="004230B0">
        <w:rPr>
          <w:rFonts w:ascii="Times New Roman" w:hAnsi="Times New Roman" w:cs="Times New Roman"/>
          <w:i/>
        </w:rPr>
        <w:t xml:space="preserve">2010, </w:t>
      </w:r>
      <w:r w:rsidR="00F57852" w:rsidRPr="004230B0">
        <w:rPr>
          <w:rFonts w:ascii="Times New Roman" w:hAnsi="Times New Roman" w:cs="Times New Roman"/>
        </w:rPr>
        <w:t>p. 99</w:t>
      </w:r>
      <w:r w:rsidRPr="004230B0">
        <w:rPr>
          <w:rFonts w:ascii="Times New Roman" w:hAnsi="Times New Roman" w:cs="Times New Roman"/>
        </w:rPr>
        <w:t>.</w:t>
      </w:r>
    </w:p>
  </w:footnote>
  <w:footnote w:id="17">
    <w:p w:rsidR="00D77ABE" w:rsidRDefault="00D77ABE" w:rsidP="00D77ABE">
      <w:pPr>
        <w:pStyle w:val="a4"/>
      </w:pPr>
      <w:r w:rsidRPr="004230B0">
        <w:rPr>
          <w:rStyle w:val="a3"/>
          <w:rFonts w:ascii="Times New Roman" w:hAnsi="Times New Roman" w:cs="Times New Roman"/>
        </w:rPr>
        <w:footnoteRef/>
      </w:r>
      <w:r w:rsidRPr="004230B0">
        <w:rPr>
          <w:rFonts w:ascii="Times New Roman" w:hAnsi="Times New Roman" w:cs="Times New Roman"/>
        </w:rPr>
        <w:t xml:space="preserve"> Supreme Court of the Republic of Slovenia, case no. II </w:t>
      </w:r>
      <w:proofErr w:type="spellStart"/>
      <w:r w:rsidRPr="004230B0">
        <w:rPr>
          <w:rFonts w:ascii="Times New Roman" w:hAnsi="Times New Roman" w:cs="Times New Roman"/>
        </w:rPr>
        <w:t>Ips</w:t>
      </w:r>
      <w:proofErr w:type="spellEnd"/>
      <w:r w:rsidRPr="004230B0">
        <w:rPr>
          <w:rFonts w:ascii="Times New Roman" w:hAnsi="Times New Roman" w:cs="Times New Roman"/>
        </w:rPr>
        <w:t xml:space="preserve"> 1261/2008, da</w:t>
      </w:r>
      <w:r>
        <w:t xml:space="preserve">ted 1. June </w:t>
      </w:r>
      <w:r w:rsidRPr="00DC1BA2">
        <w:t>2009</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BE"/>
    <w:rsid w:val="000D6535"/>
    <w:rsid w:val="0017358D"/>
    <w:rsid w:val="004230B0"/>
    <w:rsid w:val="009E4042"/>
    <w:rsid w:val="00B313BF"/>
    <w:rsid w:val="00CC5E46"/>
    <w:rsid w:val="00D21580"/>
    <w:rsid w:val="00D77ABE"/>
    <w:rsid w:val="00F578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BE"/>
    <w:pPr>
      <w:spacing w:before="240" w:after="240"/>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77ABE"/>
    <w:rPr>
      <w:vertAlign w:val="superscript"/>
    </w:rPr>
  </w:style>
  <w:style w:type="paragraph" w:styleId="a4">
    <w:name w:val="No Spacing"/>
    <w:uiPriority w:val="1"/>
    <w:qFormat/>
    <w:rsid w:val="00D77ABE"/>
    <w:pPr>
      <w:spacing w:after="0" w:line="240" w:lineRule="auto"/>
      <w:ind w:firstLine="113"/>
      <w:jc w:val="both"/>
    </w:pPr>
    <w:rPr>
      <w:sz w:val="20"/>
      <w:lang w:val="en-US"/>
    </w:rPr>
  </w:style>
  <w:style w:type="paragraph" w:styleId="a5">
    <w:name w:val="footnote text"/>
    <w:basedOn w:val="a"/>
    <w:link w:val="a6"/>
    <w:uiPriority w:val="99"/>
    <w:semiHidden/>
    <w:unhideWhenUsed/>
    <w:rsid w:val="000D6535"/>
    <w:pPr>
      <w:spacing w:before="0" w:after="0" w:line="240" w:lineRule="auto"/>
    </w:pPr>
    <w:rPr>
      <w:sz w:val="20"/>
      <w:szCs w:val="20"/>
    </w:rPr>
  </w:style>
  <w:style w:type="character" w:customStyle="1" w:styleId="a6">
    <w:name w:val="Текст сноски Знак"/>
    <w:basedOn w:val="a0"/>
    <w:link w:val="a5"/>
    <w:uiPriority w:val="99"/>
    <w:semiHidden/>
    <w:rsid w:val="000D6535"/>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BE"/>
    <w:pPr>
      <w:spacing w:before="240" w:after="240"/>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77ABE"/>
    <w:rPr>
      <w:vertAlign w:val="superscript"/>
    </w:rPr>
  </w:style>
  <w:style w:type="paragraph" w:styleId="a4">
    <w:name w:val="No Spacing"/>
    <w:uiPriority w:val="1"/>
    <w:qFormat/>
    <w:rsid w:val="00D77ABE"/>
    <w:pPr>
      <w:spacing w:after="0" w:line="240" w:lineRule="auto"/>
      <w:ind w:firstLine="113"/>
      <w:jc w:val="both"/>
    </w:pPr>
    <w:rPr>
      <w:sz w:val="20"/>
      <w:lang w:val="en-US"/>
    </w:rPr>
  </w:style>
  <w:style w:type="paragraph" w:styleId="a5">
    <w:name w:val="footnote text"/>
    <w:basedOn w:val="a"/>
    <w:link w:val="a6"/>
    <w:uiPriority w:val="99"/>
    <w:semiHidden/>
    <w:unhideWhenUsed/>
    <w:rsid w:val="000D6535"/>
    <w:pPr>
      <w:spacing w:before="0" w:after="0" w:line="240" w:lineRule="auto"/>
    </w:pPr>
    <w:rPr>
      <w:sz w:val="20"/>
      <w:szCs w:val="20"/>
    </w:rPr>
  </w:style>
  <w:style w:type="character" w:customStyle="1" w:styleId="a6">
    <w:name w:val="Текст сноски Знак"/>
    <w:basedOn w:val="a0"/>
    <w:link w:val="a5"/>
    <w:uiPriority w:val="99"/>
    <w:semiHidden/>
    <w:rsid w:val="000D653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9854-D0C8-4CDD-A177-07AE8842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Admin</cp:lastModifiedBy>
  <cp:revision>2</cp:revision>
  <dcterms:created xsi:type="dcterms:W3CDTF">2019-05-27T11:20:00Z</dcterms:created>
  <dcterms:modified xsi:type="dcterms:W3CDTF">2019-05-27T11:20:00Z</dcterms:modified>
</cp:coreProperties>
</file>