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BC" w:rsidRPr="006E2FED" w:rsidRDefault="00D84CBC" w:rsidP="00D84CBC">
      <w:pPr>
        <w:pStyle w:val="a3"/>
        <w:rPr>
          <w:rFonts w:eastAsia="Helvetica"/>
        </w:rPr>
      </w:pPr>
      <w:bookmarkStart w:id="0" w:name="_Toc1152243"/>
      <w:bookmarkStart w:id="1" w:name="_Toc1404470"/>
      <w:r w:rsidRPr="00C66D26">
        <w:rPr>
          <w:rFonts w:eastAsia="Helvetica"/>
        </w:rPr>
        <w:t xml:space="preserve">УДК </w:t>
      </w:r>
      <w:r w:rsidRPr="006E2FED">
        <w:rPr>
          <w:rFonts w:eastAsia="Helvetica"/>
        </w:rPr>
        <w:t>349.2 (043.2)</w:t>
      </w:r>
    </w:p>
    <w:p w:rsidR="00D84CBC" w:rsidRPr="00D84CBC" w:rsidRDefault="00D84CBC" w:rsidP="00D84CBC">
      <w:pPr>
        <w:keepNext/>
        <w:widowControl w:val="0"/>
        <w:autoSpaceDE w:val="0"/>
        <w:autoSpaceDN w:val="0"/>
        <w:adjustRightInd w:val="0"/>
        <w:spacing w:after="0" w:line="233" w:lineRule="auto"/>
        <w:ind w:firstLine="510"/>
        <w:jc w:val="right"/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</w:pPr>
      <w:bookmarkStart w:id="2" w:name="_GoBack"/>
      <w:bookmarkEnd w:id="2"/>
      <w:r w:rsidRPr="00D84CBC">
        <w:rPr>
          <w:rFonts w:ascii="Times New Roman" w:eastAsia="Helvetica" w:hAnsi="Times New Roman" w:cs="Arial"/>
          <w:b/>
          <w:bCs/>
          <w:iCs/>
          <w:color w:val="000000"/>
          <w:sz w:val="30"/>
          <w:szCs w:val="28"/>
          <w:lang w:val="uk-UA" w:eastAsia="zh-CN"/>
        </w:rPr>
        <w:t>М. П.</w:t>
      </w:r>
      <w:bookmarkEnd w:id="0"/>
      <w:bookmarkEnd w:id="1"/>
      <w:r w:rsidRPr="00D84CBC">
        <w:rPr>
          <w:rFonts w:ascii="Times New Roman" w:eastAsia="Helvetica" w:hAnsi="Times New Roman" w:cs="Times New Roman"/>
          <w:b/>
          <w:color w:val="000000"/>
          <w:sz w:val="30"/>
          <w:szCs w:val="20"/>
          <w:lang w:eastAsia="ru-RU"/>
        </w:rPr>
        <w:t>,</w:t>
      </w:r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 </w:t>
      </w:r>
      <w:proofErr w:type="spellStart"/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к.ю.н</w:t>
      </w:r>
      <w:proofErr w:type="spellEnd"/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.,</w:t>
      </w:r>
    </w:p>
    <w:p w:rsidR="00D84CBC" w:rsidRPr="00D84CBC" w:rsidRDefault="00D84CBC" w:rsidP="00D84CBC">
      <w:pPr>
        <w:keepNext/>
        <w:widowControl w:val="0"/>
        <w:autoSpaceDE w:val="0"/>
        <w:autoSpaceDN w:val="0"/>
        <w:adjustRightInd w:val="0"/>
        <w:spacing w:after="0" w:line="233" w:lineRule="auto"/>
        <w:ind w:firstLine="510"/>
        <w:jc w:val="right"/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</w:pPr>
      <w:proofErr w:type="spellStart"/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Національний</w:t>
      </w:r>
      <w:proofErr w:type="spellEnd"/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 </w:t>
      </w:r>
      <w:proofErr w:type="spellStart"/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авіаційний</w:t>
      </w:r>
      <w:proofErr w:type="spellEnd"/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 </w:t>
      </w:r>
      <w:proofErr w:type="spellStart"/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університет</w:t>
      </w:r>
      <w:proofErr w:type="spellEnd"/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, м.</w:t>
      </w:r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val="en-US" w:eastAsia="ru-RU"/>
        </w:rPr>
        <w:t> </w:t>
      </w:r>
      <w:proofErr w:type="spellStart"/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Київ</w:t>
      </w:r>
      <w:proofErr w:type="spellEnd"/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 xml:space="preserve">, </w:t>
      </w:r>
      <w:proofErr w:type="spellStart"/>
      <w:r w:rsidRPr="00D84CBC">
        <w:rPr>
          <w:rFonts w:ascii="Times New Roman" w:eastAsia="Helvetica" w:hAnsi="Times New Roman" w:cs="Times New Roman"/>
          <w:color w:val="000000"/>
          <w:sz w:val="30"/>
          <w:szCs w:val="20"/>
          <w:lang w:eastAsia="ru-RU"/>
        </w:rPr>
        <w:t>Україна</w:t>
      </w:r>
      <w:proofErr w:type="spellEnd"/>
    </w:p>
    <w:p w:rsidR="00D84CBC" w:rsidRPr="00D84CBC" w:rsidRDefault="00D84CBC" w:rsidP="00D84CBC">
      <w:pPr>
        <w:keepNext/>
        <w:keepLines/>
        <w:spacing w:before="480" w:after="120" w:line="240" w:lineRule="auto"/>
        <w:jc w:val="center"/>
        <w:outlineLvl w:val="2"/>
        <w:rPr>
          <w:rFonts w:ascii="Times New Roman" w:eastAsia="Helvetica" w:hAnsi="Times New Roman" w:cs="Times New Roman"/>
          <w:b/>
          <w:bCs/>
          <w:sz w:val="30"/>
          <w:szCs w:val="30"/>
          <w:lang w:val="uk-UA" w:eastAsia="uk-UA"/>
        </w:rPr>
      </w:pPr>
      <w:bookmarkStart w:id="3" w:name="_Toc1152244"/>
      <w:bookmarkStart w:id="4" w:name="_Toc1404471"/>
      <w:r w:rsidRPr="00D84CBC">
        <w:rPr>
          <w:rFonts w:ascii="Times New Roman" w:eastAsia="Helvetica" w:hAnsi="Times New Roman" w:cs="Times New Roman"/>
          <w:b/>
          <w:bCs/>
          <w:sz w:val="30"/>
          <w:szCs w:val="30"/>
          <w:lang w:val="uk-UA" w:eastAsia="uk-UA"/>
        </w:rPr>
        <w:t>МОБІНГ ЯК ПРОБЛЕМА В ТРУДОВИХ ВІДНОСИНАХ: ТЕОРЕТИКО ПРАВОВИЙ АСПЕКТ</w:t>
      </w:r>
      <w:bookmarkEnd w:id="3"/>
      <w:bookmarkEnd w:id="4"/>
    </w:p>
    <w:p w:rsidR="00D84CBC" w:rsidRPr="00D84CBC" w:rsidRDefault="00D84CBC" w:rsidP="00D84CBC">
      <w:pPr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Сьогодні проблема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в трудових відносинах стає все більш актуальним питанням, оскільки в умовах соціально-політичної та економічної кризи в суспільстві значно зростає психологічний пресинг на робочому місці. В багатьох країнах проблема викорінення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активно обговорюється, у тому числі й у середовищі фахівців, саме трудового права, яке покликане виконувати функцію налагодження співробітництва між працівниками і роботодавцями, щодо врегулювання міжособистісних конфліктів.</w:t>
      </w:r>
    </w:p>
    <w:p w:rsidR="00D84CBC" w:rsidRPr="00D84CBC" w:rsidRDefault="00D84CBC" w:rsidP="00D84CBC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властивий будь-якій державі, і Україна не є виключенням, але в кожній країні даному явищу приділяється різна увага. Підтверджуючи вище сказане, слід зауважити, що проблема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має яскраво виражений правовий аспект. Так, як ст.3 Конституції України гарантує, що «людина, її життя і здоров’я, честь і гідність, недоторканність і безпека визнаються в Україні найвищою соціальною цінністю» [1]. Також відповідно до ст.2 Кодексу законів про працю України «працівник має право на здорові та безпечні умови праці», що визнається основоположним для кожного працівника [2].</w:t>
      </w:r>
    </w:p>
    <w:p w:rsidR="00D84CBC" w:rsidRPr="00D84CBC" w:rsidRDefault="00D84CBC" w:rsidP="00D84CBC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Основним нормативно-правовим актом, який регулює дану сферу правовідносин є Закон України «</w:t>
      </w:r>
      <w:r w:rsidRPr="00D84CBC">
        <w:rPr>
          <w:rFonts w:ascii="Times New Roman" w:eastAsia="Helvetica" w:hAnsi="Times New Roman" w:cs="Times New Roman"/>
          <w:bCs/>
          <w:sz w:val="30"/>
          <w:szCs w:val="20"/>
          <w:lang w:val="uk-UA" w:eastAsia="ru-RU"/>
        </w:rPr>
        <w:t>Про засади запобігання та протидії дискримінації в Україні</w:t>
      </w:r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». Даний Закон визначає організаційно-правові засади запобігання та протидії дискримінації з метою забезпечення рівних можливостей, щодо реалізації прав і свобод людини та громадянина. Особливість полягає в тому, що законодавство не містить такого поняття, як «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», а відносини схожі на нього визначає як дискримінація. Зокрема, Л.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Ваніорек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та А.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Ваніорек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, вивчаючи психологічну сутність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, зазначають, що поняття «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» означає: переслідування,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притіснення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кого-небуть на роботі. Науковці пишуть, що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– це регулярне та цілеспрямоване нанесення шкоди людям на роботі, яке може принести особі значну фізичну та душевну шкоду [3, с. 165]. В свою чергу ст.1 вище зазначеного Закону визначає, що дискримінація – це ситуація, за якої особа та/або група осіб, зазнає обмеження у визнанні, реалізації або користуванні правами і свободами в будь-якій формі, встановленій Законом, крім випадків, коли таке обмеження має правомірну, об’єктивно обґрунтовану мету, способи </w:t>
      </w:r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lastRenderedPageBreak/>
        <w:t>досягнення якої є належними та необхідними [4]. Таким чином, ми бачимо, що дискримінація має більш широкий характер, а також відповідно до ст.4 може поширюватися не тільки на сферу трудових відносин. Тому на відміну від поняття «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» дискримінацію можна трактувати по-різному.</w:t>
      </w:r>
    </w:p>
    <w:p w:rsidR="00D84CBC" w:rsidRPr="00D84CBC" w:rsidRDefault="00D84CBC" w:rsidP="00D84CBC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Для повноцінного аналізу явища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у трудових відносинах доцільно долучити міжнародний досвід регулювання даного питання. В Європі йому приділяється велика увага, багато європейських психологів працюють в даному напрямку, створені консультаційні центри, спеціалізовані клініки, які займаються лікуванням жертв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. Велику роль в цьому процесі відіграють «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сайти» в мережі інтернет, де можна знайти відповідну підтримку [5]. Наприклад, у Німеччині практикується підписання «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антимобінгових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угод», в яких розкривається поняття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, гарантії захисту та коло осіб, до яких працівник може звернутися за допомогою. Особливість полягає саме у доказуванні психологічного пресингу, що підтверджується спеціальним щоденником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, який виступає основним доказом для роботодавця [6].</w:t>
      </w:r>
    </w:p>
    <w:p w:rsidR="00D84CBC" w:rsidRPr="00D84CBC" w:rsidRDefault="00D84CBC" w:rsidP="00D84CBC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30"/>
          <w:szCs w:val="20"/>
          <w:lang w:val="uk-UA" w:eastAsia="ru-RU"/>
        </w:rPr>
      </w:pPr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Враховуючи все вищезазначене, можна зробити висновок, що таке явище, як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, стає дедалі частішим в трудових відносинах і потребує правового регулювання. Адже, Закон України «</w:t>
      </w:r>
      <w:r w:rsidRPr="00D84CBC">
        <w:rPr>
          <w:rFonts w:ascii="Times New Roman" w:eastAsia="Helvetica" w:hAnsi="Times New Roman" w:cs="Times New Roman"/>
          <w:bCs/>
          <w:sz w:val="30"/>
          <w:szCs w:val="20"/>
          <w:lang w:val="uk-UA" w:eastAsia="ru-RU"/>
        </w:rPr>
        <w:t>Про засади запобігання та протидії дискримінації в Україні</w:t>
      </w:r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» має деякі недоліки, широке трактування поняття «дискримінації», невизначеність дій які вважаються психологічним пресингом, що не відповідає сучасним умовам розвитку трудових відносин. Таким чином, проаналізувавши зарубіжний досвід у сфері вирішення проблеми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пропонуємо наступні шляхи вирішення даного питання в Україні: по-перше, редагувати норми Закону України «Про засади запобігання та протидії дискримінації в Україні» в контексті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, зокрема, визначити на рівні закону ознаки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, права, обв’язки та гарантії сторін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, міру відповідальності перед об’єктом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; по-друге, доцільним було б додати до Глави 3 Кодексу законів про працю України норми щодо обов’язковості зазначення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в трудовому договорі, а саме поняття та відповідальність за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мобінгові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 xml:space="preserve"> дії; по-третє, створити на державному рівні «сайт протидії 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», де кожен працівник зможе отримати кваліфіковано психологічну допомогу. Отже, рухаючись в аспекті Європейської інтеграції вважаємо за необхідне визначити поняття «</w:t>
      </w:r>
      <w:proofErr w:type="spellStart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мобінгу</w:t>
      </w:r>
      <w:proofErr w:type="spellEnd"/>
      <w:r w:rsidRPr="00D84CBC">
        <w:rPr>
          <w:rFonts w:ascii="Times New Roman" w:eastAsia="Helvetica" w:hAnsi="Times New Roman" w:cs="Times New Roman"/>
          <w:sz w:val="30"/>
          <w:szCs w:val="20"/>
          <w:lang w:val="uk-UA" w:eastAsia="ru-RU"/>
        </w:rPr>
        <w:t>» на рівні трудового законодавства України, а також привести його у відповідність до норм та стандартів Європейського Союзу.</w:t>
      </w:r>
    </w:p>
    <w:p w:rsidR="00D84CBC" w:rsidRPr="00D84CBC" w:rsidRDefault="00D84CBC" w:rsidP="00D84CBC">
      <w:pPr>
        <w:keepNext/>
        <w:widowControl w:val="0"/>
        <w:autoSpaceDE w:val="0"/>
        <w:autoSpaceDN w:val="0"/>
        <w:adjustRightInd w:val="0"/>
        <w:spacing w:before="240" w:after="0" w:line="233" w:lineRule="auto"/>
        <w:jc w:val="center"/>
        <w:rPr>
          <w:rFonts w:ascii="Times New Roman" w:eastAsia="Helvetica" w:hAnsi="Times New Roman" w:cs="Times New Roman"/>
          <w:i/>
          <w:sz w:val="28"/>
          <w:szCs w:val="20"/>
          <w:lang w:val="uk-UA" w:eastAsia="ru-RU"/>
        </w:rPr>
      </w:pPr>
      <w:r w:rsidRPr="00D84CBC">
        <w:rPr>
          <w:rFonts w:ascii="Times New Roman" w:eastAsia="Helvetica" w:hAnsi="Times New Roman" w:cs="Times New Roman"/>
          <w:i/>
          <w:sz w:val="28"/>
          <w:szCs w:val="20"/>
          <w:lang w:val="uk-UA" w:eastAsia="ru-RU"/>
        </w:rPr>
        <w:t>Література</w:t>
      </w:r>
    </w:p>
    <w:p w:rsidR="00D84CBC" w:rsidRPr="00D84CBC" w:rsidRDefault="00D84CBC" w:rsidP="00D84CBC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1. Конституція України – редакція від 30.09.2016р. Електронний ресурс. – Режим доступу: https://zakon.rada.gov.ua/laws/show/254%D0%BA/96-%D0% B2%D1%80</w:t>
      </w:r>
    </w:p>
    <w:p w:rsidR="00D84CBC" w:rsidRPr="00D84CBC" w:rsidRDefault="00D84CBC" w:rsidP="00D84CBC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2. Кодекс законів про працю України – редакція від 11.10.2018р. </w:t>
      </w:r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lastRenderedPageBreak/>
        <w:t xml:space="preserve">Електронний ресурс. – Режим доступу: https://zakon.rada.gov.ua/laws/ 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show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/322-08</w:t>
      </w:r>
    </w:p>
    <w:p w:rsidR="00D84CBC" w:rsidRPr="00D84CBC" w:rsidRDefault="00D84CBC" w:rsidP="00D84CBC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3. 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Ваниорек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Л., 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Ваниорек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А. 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Моббинг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: 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когда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работа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становится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адом / Л. 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Ваниорек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, А. 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Ваниорек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/ Пер. с 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нем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. И.С. Борисова. – М.: АО «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Интерэксперт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»: 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Нолидж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/ 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Knowledge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, 1996. – С.165.</w:t>
      </w:r>
    </w:p>
    <w:p w:rsidR="00D84CBC" w:rsidRPr="00D84CBC" w:rsidRDefault="00D84CBC" w:rsidP="00D84CBC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4. Закон України «Про засади запобігання та протидії дискримінації в Україні» – редакція від 30.05.2014 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р.Електронний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ресурс. – Режим доступу: https://zakon.rada.gov.ua/laws/show/5207-17</w:t>
      </w:r>
    </w:p>
    <w:p w:rsidR="00D84CBC" w:rsidRPr="00D84CBC" w:rsidRDefault="00D84CBC" w:rsidP="00D84CBC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5. Європейська соціальна хартія (переглянута) – редакція від 07.09.2016. Електронний ресурс. – Режим доступу: https://zakon.rada.gov.ua/</w:t>
      </w:r>
      <w:r w:rsidRPr="00D84CBC">
        <w:rPr>
          <w:rFonts w:ascii="Times New Roman" w:eastAsia="Helvetica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laws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/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show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/</w:t>
      </w:r>
      <w:r w:rsidRPr="00D84CBC">
        <w:rPr>
          <w:rFonts w:ascii="Times New Roman" w:eastAsia="Helvetica" w:hAnsi="Times New Roman" w:cs="Times New Roman"/>
          <w:sz w:val="28"/>
          <w:szCs w:val="20"/>
          <w:lang w:eastAsia="ru-RU"/>
        </w:rPr>
        <w:t xml:space="preserve"> </w:t>
      </w:r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994_062</w:t>
      </w:r>
    </w:p>
    <w:p w:rsidR="00D84CBC" w:rsidRPr="00D84CBC" w:rsidRDefault="00D84CBC" w:rsidP="00D84CBC">
      <w:pPr>
        <w:widowControl w:val="0"/>
        <w:autoSpaceDE w:val="0"/>
        <w:autoSpaceDN w:val="0"/>
        <w:adjustRightInd w:val="0"/>
        <w:spacing w:after="0" w:line="233" w:lineRule="auto"/>
        <w:ind w:firstLine="510"/>
        <w:jc w:val="both"/>
        <w:rPr>
          <w:rFonts w:ascii="Times New Roman" w:eastAsia="Helvetica" w:hAnsi="Times New Roman" w:cs="Times New Roman"/>
          <w:sz w:val="28"/>
          <w:szCs w:val="20"/>
          <w:lang w:val="uk-UA" w:eastAsia="ru-RU"/>
        </w:rPr>
      </w:pPr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6. Жданова О.С. </w:t>
      </w:r>
      <w:proofErr w:type="spellStart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>Мобінг</w:t>
      </w:r>
      <w:proofErr w:type="spellEnd"/>
      <w:r w:rsidRPr="00D84CBC">
        <w:rPr>
          <w:rFonts w:ascii="Times New Roman" w:eastAsia="Helvetica" w:hAnsi="Times New Roman" w:cs="Times New Roman"/>
          <w:sz w:val="28"/>
          <w:szCs w:val="20"/>
          <w:lang w:val="uk-UA" w:eastAsia="ru-RU"/>
        </w:rPr>
        <w:t xml:space="preserve"> та правові засоби захисту від нього на прикладі Німеччини. / СНУ ім. В. Даля – 2014.</w:t>
      </w:r>
    </w:p>
    <w:p w:rsidR="00EF7C5F" w:rsidRDefault="00EF7C5F"/>
    <w:sectPr w:rsidR="00EF7C5F" w:rsidSect="005862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BC"/>
    <w:rsid w:val="0058620B"/>
    <w:rsid w:val="00CC69F8"/>
    <w:rsid w:val="00D84CBC"/>
    <w:rsid w:val="00E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DBEE"/>
  <w15:chartTrackingRefBased/>
  <w15:docId w15:val="{9FAA251E-3996-4253-8167-A175A636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rsid w:val="00D84CBC"/>
    <w:pPr>
      <w:keepNext/>
      <w:widowControl w:val="0"/>
      <w:autoSpaceDE w:val="0"/>
      <w:autoSpaceDN w:val="0"/>
      <w:adjustRightInd w:val="0"/>
      <w:spacing w:before="720" w:after="0" w:line="233" w:lineRule="auto"/>
      <w:jc w:val="both"/>
    </w:pPr>
    <w:rPr>
      <w:rFonts w:ascii="Times New Roman" w:eastAsia="Times New Roman" w:hAnsi="Times New Roman" w:cs="Times New Roman"/>
      <w:color w:val="000000"/>
      <w:sz w:val="30"/>
      <w:szCs w:val="20"/>
      <w:lang w:val="uk-UA" w:eastAsia="ru-RU"/>
    </w:rPr>
  </w:style>
  <w:style w:type="character" w:customStyle="1" w:styleId="a4">
    <w:name w:val="УДК Знак"/>
    <w:link w:val="a3"/>
    <w:rsid w:val="00D84CBC"/>
    <w:rPr>
      <w:rFonts w:ascii="Times New Roman" w:eastAsia="Times New Roman" w:hAnsi="Times New Roman" w:cs="Times New Roman"/>
      <w:color w:val="000000"/>
      <w:sz w:val="3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2019-03-13T22:12:00Z</dcterms:created>
  <dcterms:modified xsi:type="dcterms:W3CDTF">2019-03-13T22:14:00Z</dcterms:modified>
</cp:coreProperties>
</file>