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Оптимізація політики державноцерковних відносин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контексті реалізації гуманітарної політики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цілому, аналізуючи складну ситуацію в релігійній сфері,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відзначити, що сьогодні треба здійснити низку кроків,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спрямованих на подолання вищезазначених загроз. У цьому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контексті держава має виробити виважену й водночас дина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мічну політику державноцерковних відносин, спрямовану на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забезпечення релігійних свобод особистості, обстоювання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власних національних інтересів та досягнення консолідації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lang w:eastAsia="ru-RU"/>
        </w:rPr>
        <w:t>українського суспільства.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Основне положення сучасних державноконфесійних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відносин полягає в тому, що держава і церква визнаються як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рівноправні суб’єкти державноцерковних відносин, кожен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яких діє у сфері своєї компетенції. Відповідно релігійні об’єд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нання повинні визнавати та дотримуватися законів держави,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регламентують їхню діяльність як особливих спільнот гро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мадян, а держава повинна враховувати приписи релігійних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організацій у своїй діяльності (наприклад, форми виконання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lang w:eastAsia="ru-RU"/>
        </w:rPr>
        <w:t>віруючими громадянами країни військового обов’язку).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Україні створений проект концепції державноцерков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відносин</w:t>
      </w:r>
      <w:r w:rsidRPr="00331191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200</w:t>
      </w: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що чітко визначає сфери співпраці релігійних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об’єднань і держави. В ньому зазначається, що партнерські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взаємовідносини держави і церкви (релігійних організацій)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базуються на визнанні того, що вони хоч і відокремлені один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одного в питаннях їх виняткової компетенції, але повинні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спільно діяти в інтересах українського суспільства, так як їх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спільною метою є забезпечення прав людини, зокрема права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свободу совісті. Вони повинні спільно сприяти консолідації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українського суспільства шляхом збереження та примножен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його традиційної культури та формування його ціннісних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орієнтацій,тощо. Здійснюючи свої функції держава і релігійні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організації визнають лише такі обмеження у сферах власної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компетенції, які зумовлені необхідністю захисту конституцій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ладу країни, громадського порядку, суспільної моралі,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здоров’я, прав, свобод і законних інтересів людини і громадя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нина, а також узгоджуються з міжнародними правовими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lang w:eastAsia="ru-RU"/>
        </w:rPr>
        <w:t>принципами та нормами</w:t>
      </w:r>
      <w:r w:rsidRPr="00331191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201</w:t>
      </w:r>
      <w:r w:rsidRPr="003311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Держава і релігійні організації повинні також прагнути до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встановлення балансу (узгодження) інтересів всіх громадян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200 </w:t>
      </w:r>
      <w:r w:rsidRPr="0033119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Див Проект Концепції державноконфесійних відносин в Україні –  http://scnm.gov.ua/con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trol/uk/publish/article?art_id=91737&amp;cat_id=45925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201 </w:t>
      </w:r>
      <w:r w:rsidRPr="003311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А. Кочкадан. Загальні засади взаємодії держави і релігійних обєднань в Україні. // Вісник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Львівського університету. Серія юрид. 2009. Вип. 49. С. 95100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170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331191" w:rsidRPr="00331191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D18846" id="Поли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CvnL8J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33119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6705600</wp:posOffset>
                </wp:positionV>
                <wp:extent cx="1651000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E1B105" id="Поли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28pt,181.95pt,528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3311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 та проблеми вітчизняної гуманітарної галузі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контексті забезпечення національної безпеки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lang w:eastAsia="ru-RU"/>
        </w:rPr>
        <w:t>України, зокрема віруючих і невіруючих та їхніх об’єднань,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досягнення взаєморозуміння та взаємної толерантності між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ними. Важливим їхнім завданням є також досягнення міжкон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фесійної стабільності, запобігання виникненню конфліктів на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lang w:eastAsia="ru-RU"/>
        </w:rPr>
        <w:t>релігійній основі.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Обговорюючи даний концепт, учасники Міжнародної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науковопрактичної конференції «Церква і держава в служін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народу» зазначають, що «церква відокремлена від держави,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не від власного народу, тому вона широко веде соціальну,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просвітницьку і патріотичну діяльність…, впродовж багатьох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століть була і є консолідуючою силою нашого суспільства, ви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ховуючи високі моральні ідеали і справжні людські цінності, …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серцевина нашого суспільства церква прагне допомогти</w:t>
      </w:r>
    </w:p>
    <w:p w:rsidR="00331191" w:rsidRPr="00331191" w:rsidRDefault="00331191" w:rsidP="00331191">
      <w:pPr>
        <w:widowControl w:val="0"/>
        <w:tabs>
          <w:tab w:val="left" w:pos="1426"/>
          <w:tab w:val="left" w:pos="2920"/>
          <w:tab w:val="left" w:pos="4000"/>
          <w:tab w:val="left" w:pos="4946"/>
          <w:tab w:val="left" w:pos="6213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молодій</w:t>
      </w: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українській</w:t>
      </w: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державі</w:t>
      </w: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долати</w:t>
      </w: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негативні</w:t>
      </w: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явища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сьогодення…, результатом співпраці держави і церкви стане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тільки відродження духовності нашого народу, але й з’яв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ляться успіхи в економічній сфері, тому що мораль і економіка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lang w:eastAsia="ru-RU"/>
        </w:rPr>
        <w:t>взаємопов’язані»</w:t>
      </w:r>
      <w:r w:rsidRPr="00331191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202</w:t>
      </w:r>
      <w:r w:rsidRPr="00331191">
        <w:rPr>
          <w:rFonts w:ascii="Times New Roman" w:eastAsia="Times New Roman" w:hAnsi="Times New Roman" w:cs="Times New Roman"/>
          <w:color w:val="000000"/>
          <w:lang w:eastAsia="ru-RU"/>
        </w:rPr>
        <w:t>[7].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Взаємодія держави і церкви також здійснюється у соціаль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ній сфері, сприяючи популяризації духовних цінностей та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розвитку громадянського суспільства в Україні. Релігійні орга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нізації реалізують активну діяльність по допомозі малозабез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печеним, нужденним, хворим, сиротам, інвалідам. Благодійну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допомогу активно надають представники фонду «Карітас»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РКЦ та УГКЦ, діячі деяких протестантських організацій –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церков євангельських християнбаптистів, християн віри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євангельської, християн віри євангельської п’ятидесятників,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представники міжнародної організації «Адвентистське агент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lang w:eastAsia="ru-RU"/>
        </w:rPr>
        <w:t>ство допомоги та розвитку» Церкви адвентистів Сьомого дня.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Релігійні організації також пропагують здоровий спосіб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життя, здійснюють заходи щодо протидії поширення наркома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нії, алкоголізму, куріння та соціальнонебезпечних хвороб, зо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крема туберкульозу, ВІЛ/СНІДу тощо. Релігійні організації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здійснюють активну просвітницьку роботу, випускаючи від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повідні друковані видання, створюючи якісний телевізійний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продукт (документальні фільми про визначні релігійні святині,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духовні заклади, в тому числі й українські). За останні роки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збільшилась кількість видань церковних друкованих засобів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масової інформації. Слід позитивно відзначити щорічне про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31191" w:rsidRPr="00331191" w:rsidRDefault="00331191" w:rsidP="0033119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202</w:t>
      </w:r>
      <w:r w:rsidRPr="00331191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3311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Міжнародна науковопрактична конференція «Церква і держава в служінні народу»,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журнал»Вісник УПЦ», № 51, 2005 р. – http://pravoslavye.org.ua/index.php?r_type=article&amp;action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=fullinfo&amp;id=981і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171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331191" w:rsidRPr="00331191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5EF37D" id="Полилиния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65CQMAAHY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DwZT65CQMAAHY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lang w:eastAsia="ru-RU"/>
        </w:rPr>
        <w:t>ведення Міжнародного кінофестивалю «Покров», де пред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lang w:eastAsia="ru-RU"/>
        </w:rPr>
        <w:t>ставляються найкращі православні фільми.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результаті позитивної співпраці держави і релігійних ор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ганізацій в соціальному плані популяризуються загально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людські цінності, спрямовані на формування гармонії між осо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бистістю та суспільством, що є важливим стабілізуючим та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об’єднуючим чинником суспільства. Важливим результатом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співпраці держави і релігійних організацій є також чітке до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тримання принципу свободи совісті. Позитивно слід відзначи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ти, що не зафіксовано значних порушень чинного законо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давства у галузі свободи совісті громадянами України та іно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земними громадянами, що проводять релігійну діяльність на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території України. Хоча слід відзначити, що робота відповід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правоохоронних органів в цьому напрямку не завжди про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водиться належним чином. Ряд релігійних організацій хариз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матичного спрямування, зокрема наприклад Церква Аделад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жіо, продовжують маніпулювати довірливістю і легковірністю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 України і ошукують їх на значні суми і, не зважаючи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значний суспільний резонанс і активне висвітлення у ЗМІ,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керівники даної церкви продовжують свою шарлатанську ді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яльність. Тому правоохоронні органи повинні активізувати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діяльність у даному напрямку і захищати фізичне і психічне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lang w:eastAsia="ru-RU"/>
        </w:rPr>
        <w:t>здоров’я громадян України, а також їхні матеріальні ресурси.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Підсумовуючи даний підрозділ слід відзначити, що головна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 політики національної безпеки в релігійній сфері – це до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сягнення консолідації української нації, зміцнення української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держави, посилення її міжнародного авторитету, утвердження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моральності та духовності громадян України шляхом подолан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lang w:eastAsia="ru-RU"/>
        </w:rPr>
        <w:t>ня негативних явищ в релігійному середовищі.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в релігійній сфері повинна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lang w:eastAsia="ru-RU"/>
        </w:rPr>
        <w:t>бути спрямована: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33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сприяння врегулювання міжконфесійних та внутріш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lang w:eastAsia="ru-RU"/>
        </w:rPr>
        <w:t>ньо конфесійних конфліктів;</w:t>
      </w:r>
    </w:p>
    <w:p w:rsidR="00331191" w:rsidRPr="00331191" w:rsidRDefault="00331191" w:rsidP="00331191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33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мінімізацію чи припинення дестабілізуючих впливів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lang w:eastAsia="ru-RU"/>
        </w:rPr>
        <w:t>деструктивних неорелігійних організацій;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331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31191">
        <w:rPr>
          <w:rFonts w:ascii="Times New Roman" w:eastAsia="Times New Roman" w:hAnsi="Times New Roman" w:cs="Times New Roman"/>
          <w:color w:val="000000"/>
          <w:lang w:eastAsia="ru-RU"/>
        </w:rPr>
        <w:t>на зменшення політизації релігійних організацій;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33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врегулювання проблем порушення релігійних прав на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ціональних меншин, запобігання перетворення етнічного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lang w:eastAsia="ru-RU"/>
        </w:rPr>
        <w:t>та конфесійного чинників у знаряддя сепаратизму;</w:t>
      </w:r>
    </w:p>
    <w:p w:rsidR="00331191" w:rsidRPr="00331191" w:rsidRDefault="00331191" w:rsidP="00331191">
      <w:pPr>
        <w:widowControl w:val="0"/>
        <w:tabs>
          <w:tab w:val="left" w:pos="733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331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31191">
        <w:rPr>
          <w:rFonts w:ascii="Times New Roman" w:eastAsia="Times New Roman" w:hAnsi="Times New Roman" w:cs="Times New Roman"/>
          <w:color w:val="000000"/>
          <w:lang w:eastAsia="ru-RU"/>
        </w:rPr>
        <w:t>на врегулювання грубих порушень релігійних свобод</w:t>
      </w:r>
    </w:p>
    <w:p w:rsidR="00331191" w:rsidRPr="00331191" w:rsidRDefault="00331191" w:rsidP="003311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91">
        <w:rPr>
          <w:rFonts w:ascii="Times New Roman" w:eastAsia="Times New Roman" w:hAnsi="Times New Roman" w:cs="Times New Roman"/>
          <w:color w:val="000000"/>
          <w:lang w:eastAsia="ru-RU"/>
        </w:rPr>
        <w:t>громадян.</w:t>
      </w:r>
    </w:p>
    <w:p w:rsidR="003638C4" w:rsidRDefault="003638C4">
      <w:bookmarkStart w:id="0" w:name="_GoBack"/>
      <w:bookmarkEnd w:id="0"/>
    </w:p>
    <w:sectPr w:rsidR="0036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BC"/>
    <w:rsid w:val="00331191"/>
    <w:rsid w:val="003638C4"/>
    <w:rsid w:val="0067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DB12C-7072-4D0C-82D4-4C57F736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2016-05-21T16:37:00Z</dcterms:created>
  <dcterms:modified xsi:type="dcterms:W3CDTF">2016-05-21T16:37:00Z</dcterms:modified>
</cp:coreProperties>
</file>