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CF4" w:rsidRPr="00650CF4" w:rsidRDefault="00650CF4" w:rsidP="00650CF4">
      <w:pPr>
        <w:jc w:val="both"/>
        <w:rPr>
          <w:rFonts w:ascii="Times New Roman" w:hAnsi="Times New Roman" w:cs="Times New Roman"/>
          <w:sz w:val="28"/>
          <w:szCs w:val="28"/>
          <w:lang w:val="uk-UA"/>
        </w:rPr>
      </w:pPr>
      <w:r w:rsidRPr="00650CF4">
        <w:rPr>
          <w:rFonts w:ascii="Times New Roman" w:hAnsi="Times New Roman" w:cs="Times New Roman"/>
          <w:sz w:val="28"/>
          <w:szCs w:val="28"/>
          <w:lang w:val="uk-UA"/>
        </w:rPr>
        <w:t>УДК 347.725</w:t>
      </w:r>
    </w:p>
    <w:p w:rsidR="00650CF4" w:rsidRPr="00650CF4" w:rsidRDefault="00650CF4" w:rsidP="00650CF4">
      <w:pPr>
        <w:jc w:val="both"/>
        <w:rPr>
          <w:rFonts w:ascii="Times New Roman" w:hAnsi="Times New Roman" w:cs="Times New Roman"/>
          <w:b/>
          <w:sz w:val="28"/>
          <w:szCs w:val="28"/>
          <w:lang w:val="uk-UA"/>
        </w:rPr>
      </w:pPr>
      <w:proofErr w:type="spellStart"/>
      <w:r w:rsidRPr="00650CF4">
        <w:rPr>
          <w:rFonts w:ascii="Times New Roman" w:hAnsi="Times New Roman" w:cs="Times New Roman"/>
          <w:b/>
          <w:sz w:val="28"/>
          <w:szCs w:val="28"/>
          <w:lang w:val="uk-UA"/>
        </w:rPr>
        <w:t>Гаврилішин</w:t>
      </w:r>
      <w:proofErr w:type="spellEnd"/>
      <w:r w:rsidRPr="00650CF4">
        <w:rPr>
          <w:rFonts w:ascii="Times New Roman" w:hAnsi="Times New Roman" w:cs="Times New Roman"/>
          <w:b/>
          <w:sz w:val="28"/>
          <w:szCs w:val="28"/>
          <w:lang w:val="uk-UA"/>
        </w:rPr>
        <w:t xml:space="preserve"> А.П.</w:t>
      </w:r>
    </w:p>
    <w:p w:rsidR="00650CF4" w:rsidRPr="00650CF4" w:rsidRDefault="00650CF4" w:rsidP="00650CF4">
      <w:pPr>
        <w:jc w:val="both"/>
        <w:rPr>
          <w:rFonts w:ascii="Times New Roman" w:hAnsi="Times New Roman" w:cs="Times New Roman"/>
          <w:sz w:val="28"/>
          <w:szCs w:val="28"/>
          <w:lang w:val="uk-UA"/>
        </w:rPr>
      </w:pPr>
      <w:r w:rsidRPr="00650CF4">
        <w:rPr>
          <w:rFonts w:ascii="Times New Roman" w:hAnsi="Times New Roman" w:cs="Times New Roman"/>
          <w:sz w:val="28"/>
          <w:szCs w:val="28"/>
          <w:lang w:val="uk-UA"/>
        </w:rPr>
        <w:t xml:space="preserve">Канд. </w:t>
      </w:r>
      <w:proofErr w:type="spellStart"/>
      <w:r w:rsidRPr="00650CF4">
        <w:rPr>
          <w:rFonts w:ascii="Times New Roman" w:hAnsi="Times New Roman" w:cs="Times New Roman"/>
          <w:sz w:val="28"/>
          <w:szCs w:val="28"/>
          <w:lang w:val="uk-UA"/>
        </w:rPr>
        <w:t>юр.наук</w:t>
      </w:r>
      <w:proofErr w:type="spellEnd"/>
      <w:r w:rsidRPr="00650CF4">
        <w:rPr>
          <w:rFonts w:ascii="Times New Roman" w:hAnsi="Times New Roman" w:cs="Times New Roman"/>
          <w:sz w:val="28"/>
          <w:szCs w:val="28"/>
          <w:lang w:val="uk-UA"/>
        </w:rPr>
        <w:t>, доцент</w:t>
      </w:r>
    </w:p>
    <w:p w:rsidR="00650CF4" w:rsidRPr="00650CF4" w:rsidRDefault="00650CF4" w:rsidP="00650CF4">
      <w:pPr>
        <w:jc w:val="both"/>
        <w:rPr>
          <w:rFonts w:ascii="Times New Roman" w:hAnsi="Times New Roman" w:cs="Times New Roman"/>
          <w:sz w:val="28"/>
          <w:szCs w:val="28"/>
          <w:lang w:val="uk-UA"/>
        </w:rPr>
      </w:pPr>
      <w:r w:rsidRPr="00650CF4">
        <w:rPr>
          <w:rFonts w:ascii="Times New Roman" w:hAnsi="Times New Roman" w:cs="Times New Roman"/>
          <w:sz w:val="28"/>
          <w:szCs w:val="28"/>
          <w:lang w:val="uk-UA"/>
        </w:rPr>
        <w:t>Національний університет ДПС України,</w:t>
      </w:r>
    </w:p>
    <w:p w:rsidR="00650CF4" w:rsidRPr="00650CF4" w:rsidRDefault="00650CF4" w:rsidP="00650CF4">
      <w:pPr>
        <w:jc w:val="both"/>
        <w:rPr>
          <w:rFonts w:ascii="Times New Roman" w:hAnsi="Times New Roman" w:cs="Times New Roman"/>
          <w:sz w:val="28"/>
          <w:szCs w:val="28"/>
          <w:lang w:val="uk-UA"/>
        </w:rPr>
      </w:pPr>
      <w:r w:rsidRPr="00650CF4">
        <w:rPr>
          <w:rFonts w:ascii="Times New Roman" w:hAnsi="Times New Roman" w:cs="Times New Roman"/>
          <w:sz w:val="28"/>
          <w:szCs w:val="28"/>
          <w:lang w:val="uk-UA"/>
        </w:rPr>
        <w:t>м. Ірпінь, Україна</w:t>
      </w:r>
    </w:p>
    <w:p w:rsidR="00650CF4" w:rsidRPr="00650CF4" w:rsidRDefault="00650CF4" w:rsidP="00650CF4">
      <w:pPr>
        <w:jc w:val="both"/>
        <w:rPr>
          <w:rFonts w:ascii="Times New Roman" w:hAnsi="Times New Roman" w:cs="Times New Roman"/>
          <w:b/>
          <w:sz w:val="28"/>
          <w:szCs w:val="28"/>
          <w:lang w:val="uk-UA"/>
        </w:rPr>
      </w:pPr>
      <w:r w:rsidRPr="00650CF4">
        <w:rPr>
          <w:rFonts w:ascii="Times New Roman" w:hAnsi="Times New Roman" w:cs="Times New Roman"/>
          <w:b/>
          <w:sz w:val="28"/>
          <w:szCs w:val="28"/>
          <w:lang w:val="uk-UA"/>
        </w:rPr>
        <w:t>Ніжна Я.Ю.В.</w:t>
      </w:r>
    </w:p>
    <w:p w:rsidR="00650CF4" w:rsidRPr="00650CF4" w:rsidRDefault="00650CF4" w:rsidP="00650CF4">
      <w:pPr>
        <w:jc w:val="both"/>
        <w:rPr>
          <w:rFonts w:ascii="Times New Roman" w:hAnsi="Times New Roman" w:cs="Times New Roman"/>
          <w:sz w:val="28"/>
          <w:szCs w:val="28"/>
          <w:lang w:val="uk-UA"/>
        </w:rPr>
      </w:pPr>
      <w:r w:rsidRPr="00650CF4">
        <w:rPr>
          <w:rFonts w:ascii="Times New Roman" w:hAnsi="Times New Roman" w:cs="Times New Roman"/>
          <w:sz w:val="28"/>
          <w:szCs w:val="28"/>
          <w:lang w:val="uk-UA"/>
        </w:rPr>
        <w:t>Студентка 5 курсу юридичного факультету</w:t>
      </w:r>
    </w:p>
    <w:p w:rsidR="00650CF4" w:rsidRPr="00650CF4" w:rsidRDefault="00650CF4" w:rsidP="00650CF4">
      <w:pPr>
        <w:jc w:val="both"/>
        <w:rPr>
          <w:rFonts w:ascii="Times New Roman" w:hAnsi="Times New Roman" w:cs="Times New Roman"/>
          <w:sz w:val="28"/>
          <w:szCs w:val="28"/>
          <w:lang w:val="uk-UA"/>
        </w:rPr>
      </w:pPr>
      <w:r w:rsidRPr="00650CF4">
        <w:rPr>
          <w:rFonts w:ascii="Times New Roman" w:hAnsi="Times New Roman" w:cs="Times New Roman"/>
          <w:sz w:val="28"/>
          <w:szCs w:val="28"/>
          <w:lang w:val="uk-UA"/>
        </w:rPr>
        <w:t>Національний університет ДПС України,</w:t>
      </w:r>
    </w:p>
    <w:p w:rsidR="00650CF4" w:rsidRPr="00650CF4" w:rsidRDefault="00650CF4" w:rsidP="00650CF4">
      <w:pPr>
        <w:jc w:val="both"/>
        <w:rPr>
          <w:rFonts w:ascii="Times New Roman" w:hAnsi="Times New Roman" w:cs="Times New Roman"/>
          <w:sz w:val="28"/>
          <w:szCs w:val="28"/>
          <w:lang w:val="uk-UA"/>
        </w:rPr>
      </w:pPr>
      <w:r w:rsidRPr="00650CF4">
        <w:rPr>
          <w:rFonts w:ascii="Times New Roman" w:hAnsi="Times New Roman" w:cs="Times New Roman"/>
          <w:sz w:val="28"/>
          <w:szCs w:val="28"/>
          <w:lang w:val="uk-UA"/>
        </w:rPr>
        <w:t>м. Ірпінь, Україна</w:t>
      </w:r>
    </w:p>
    <w:p w:rsidR="00650CF4" w:rsidRPr="00650CF4" w:rsidRDefault="00650CF4" w:rsidP="00650CF4">
      <w:pPr>
        <w:jc w:val="both"/>
        <w:rPr>
          <w:rFonts w:ascii="Times New Roman" w:hAnsi="Times New Roman" w:cs="Times New Roman"/>
          <w:sz w:val="28"/>
          <w:szCs w:val="28"/>
          <w:lang w:val="uk-UA"/>
        </w:rPr>
      </w:pPr>
    </w:p>
    <w:p w:rsidR="00650CF4" w:rsidRPr="00650CF4" w:rsidRDefault="00650CF4" w:rsidP="00650CF4">
      <w:pPr>
        <w:jc w:val="both"/>
        <w:rPr>
          <w:rFonts w:ascii="Times New Roman" w:hAnsi="Times New Roman" w:cs="Times New Roman"/>
          <w:b/>
          <w:sz w:val="28"/>
          <w:szCs w:val="28"/>
          <w:lang w:val="uk-UA"/>
        </w:rPr>
      </w:pPr>
      <w:r w:rsidRPr="00650CF4">
        <w:rPr>
          <w:rFonts w:ascii="Times New Roman" w:hAnsi="Times New Roman" w:cs="Times New Roman"/>
          <w:b/>
          <w:sz w:val="28"/>
          <w:szCs w:val="28"/>
          <w:lang w:val="uk-UA"/>
        </w:rPr>
        <w:t>ПРОБЛЕМНІ ПИТАННЯ, ПОВ’ЯЗАНІ ІЗ ДІЯЛЬНІСТЮ АКЦІОНЕРНИХ ТОВАРИСТВ</w:t>
      </w:r>
    </w:p>
    <w:p w:rsidR="00650CF4" w:rsidRPr="00650CF4" w:rsidRDefault="00650CF4" w:rsidP="00650CF4">
      <w:pPr>
        <w:jc w:val="both"/>
        <w:rPr>
          <w:rFonts w:ascii="Times New Roman" w:hAnsi="Times New Roman" w:cs="Times New Roman"/>
          <w:sz w:val="28"/>
          <w:szCs w:val="28"/>
          <w:lang w:val="uk-UA"/>
        </w:rPr>
      </w:pPr>
    </w:p>
    <w:p w:rsidR="00650CF4" w:rsidRPr="00650CF4" w:rsidRDefault="00650CF4" w:rsidP="00650CF4">
      <w:pPr>
        <w:jc w:val="both"/>
        <w:rPr>
          <w:rFonts w:ascii="Times New Roman" w:hAnsi="Times New Roman" w:cs="Times New Roman"/>
          <w:sz w:val="28"/>
          <w:szCs w:val="28"/>
          <w:lang w:val="uk-UA"/>
        </w:rPr>
      </w:pPr>
      <w:r w:rsidRPr="00650CF4">
        <w:rPr>
          <w:rFonts w:ascii="Times New Roman" w:hAnsi="Times New Roman" w:cs="Times New Roman"/>
          <w:sz w:val="28"/>
          <w:szCs w:val="28"/>
          <w:lang w:val="uk-UA"/>
        </w:rPr>
        <w:t xml:space="preserve">З визначення випливають особливості акціонерного товариства, які обумовлюють специфіку його юридичного статусу: воно є господарською організацією корпоративного типу, різновидом господарського товариства; належить до товариств – об’єднань капіталів, у яких майнові елементи домінують над особистими (для участі в акціонерному товаристві досить зробити майновий внесок – оплатити акцію, а персональна участь – трудова, в управлінні справами товариства – зазвичай є необов’язковою); статутний фонд акціонерного товариства має акціонерну природу, формується шляхом емісії та продажу акцій фізичним та/або юридичним особам; має публічний статус емітента цінних паперів (акцій, облігацій), воно є юридичною особою, яка від свого імені випускає акції і зобов’язується своєчасно виконувати обов'язки, що випливають з умов їх випуску.; фізичні та юридичні особи, які придбали акції акціонерних товариств, набувають статусу акціонерів, права і обов’язки яких визначаються законом; особливою ознакою акціонерного товариства є обмеження відповідальності акціонерів: вони відповідають за зобов’язаннями товариства тільки в межах належних їм акцій. </w:t>
      </w:r>
    </w:p>
    <w:p w:rsidR="00650CF4" w:rsidRPr="00650CF4" w:rsidRDefault="00650CF4" w:rsidP="00650CF4">
      <w:pPr>
        <w:jc w:val="both"/>
        <w:rPr>
          <w:rFonts w:ascii="Times New Roman" w:hAnsi="Times New Roman" w:cs="Times New Roman"/>
          <w:sz w:val="28"/>
          <w:szCs w:val="28"/>
          <w:lang w:val="uk-UA"/>
        </w:rPr>
      </w:pPr>
      <w:r w:rsidRPr="00650CF4">
        <w:rPr>
          <w:rFonts w:ascii="Times New Roman" w:hAnsi="Times New Roman" w:cs="Times New Roman"/>
          <w:sz w:val="28"/>
          <w:szCs w:val="28"/>
          <w:lang w:val="uk-UA"/>
        </w:rPr>
        <w:t>В зв’язку з тим, що існування акціонерних товариств в Україні регламентується ГКУ, ЦКУ та багатьма різними законами, є багато спірних питань, які потребують врегулювання.</w:t>
      </w:r>
    </w:p>
    <w:p w:rsidR="00650CF4" w:rsidRPr="00650CF4" w:rsidRDefault="00650CF4" w:rsidP="00650CF4">
      <w:pPr>
        <w:jc w:val="both"/>
        <w:rPr>
          <w:rFonts w:ascii="Times New Roman" w:hAnsi="Times New Roman" w:cs="Times New Roman"/>
          <w:sz w:val="28"/>
          <w:szCs w:val="28"/>
          <w:lang w:val="uk-UA"/>
        </w:rPr>
      </w:pPr>
      <w:r w:rsidRPr="00650CF4">
        <w:rPr>
          <w:rFonts w:ascii="Times New Roman" w:hAnsi="Times New Roman" w:cs="Times New Roman"/>
          <w:sz w:val="28"/>
          <w:szCs w:val="28"/>
          <w:lang w:val="uk-UA"/>
        </w:rPr>
        <w:lastRenderedPageBreak/>
        <w:t xml:space="preserve">Кількісний склад приватного АТ не може перевищувати 100 акціонерів. Наслідки недотримання цієї норми Законом не передбачені. Зокрема, не врегульовано порядок дій приватного товариства в разі, якщо кількість акціонерів зросте понад 100 осіб; не закріплено обов’язку змінити тип товариства; не встановлено строк, протягом якого має бути змінений тип; не передбачено застосування санкцій за це порушення. Така правова невизначеність може бути використана на шкоду акціонерам та товариству. </w:t>
      </w:r>
    </w:p>
    <w:p w:rsidR="00650CF4" w:rsidRPr="00650CF4" w:rsidRDefault="00650CF4" w:rsidP="00650CF4">
      <w:pPr>
        <w:jc w:val="both"/>
        <w:rPr>
          <w:rFonts w:ascii="Times New Roman" w:hAnsi="Times New Roman" w:cs="Times New Roman"/>
          <w:sz w:val="28"/>
          <w:szCs w:val="28"/>
          <w:lang w:val="uk-UA"/>
        </w:rPr>
      </w:pPr>
      <w:r w:rsidRPr="00650CF4">
        <w:rPr>
          <w:rFonts w:ascii="Times New Roman" w:hAnsi="Times New Roman" w:cs="Times New Roman"/>
          <w:sz w:val="28"/>
          <w:szCs w:val="28"/>
          <w:lang w:val="uk-UA"/>
        </w:rPr>
        <w:t xml:space="preserve">Відповідно до ч.2 ст.24 Закону акції приватного товариства не можуть купуватися або продаватися на фондовій біржі, за винятком продажу шляхом проведення на біржі аукціону. Для акцій публічного товариства закон вимагає обов’язкового проходження лістингу та обігу акцій виключно на тій біржі, де товариство пройшло процедуру лістингу. </w:t>
      </w:r>
    </w:p>
    <w:p w:rsidR="00650CF4" w:rsidRPr="00650CF4" w:rsidRDefault="00650CF4" w:rsidP="00650CF4">
      <w:pPr>
        <w:jc w:val="both"/>
        <w:rPr>
          <w:rFonts w:ascii="Times New Roman" w:hAnsi="Times New Roman" w:cs="Times New Roman"/>
          <w:sz w:val="28"/>
          <w:szCs w:val="28"/>
          <w:lang w:val="uk-UA"/>
        </w:rPr>
      </w:pPr>
      <w:r w:rsidRPr="00650CF4">
        <w:rPr>
          <w:rFonts w:ascii="Times New Roman" w:hAnsi="Times New Roman" w:cs="Times New Roman"/>
          <w:sz w:val="28"/>
          <w:szCs w:val="28"/>
          <w:lang w:val="uk-UA"/>
        </w:rPr>
        <w:t xml:space="preserve">Існуюча сьогодні система правового регулювання створення, діяльності та припинення акціонерних товариств включає в себе ряд </w:t>
      </w:r>
      <w:proofErr w:type="spellStart"/>
      <w:r w:rsidRPr="00650CF4">
        <w:rPr>
          <w:rFonts w:ascii="Times New Roman" w:hAnsi="Times New Roman" w:cs="Times New Roman"/>
          <w:sz w:val="28"/>
          <w:szCs w:val="28"/>
          <w:lang w:val="uk-UA"/>
        </w:rPr>
        <w:t>норматино-правових</w:t>
      </w:r>
      <w:proofErr w:type="spellEnd"/>
      <w:r w:rsidRPr="00650CF4">
        <w:rPr>
          <w:rFonts w:ascii="Times New Roman" w:hAnsi="Times New Roman" w:cs="Times New Roman"/>
          <w:sz w:val="28"/>
          <w:szCs w:val="28"/>
          <w:lang w:val="uk-UA"/>
        </w:rPr>
        <w:t xml:space="preserve"> актів, зокрема, ЦКУ, ГКУ, Законів України «Про господарські товариства», «Про акціонерні товариства», «Про цінні папери та фондовий ринок». Саме така на перший погляд «достатня» правова регламентація нерідко зумовлює те, що виникає проблема правозастосування тієї чи іншої норми при наявності їх суперечностей. </w:t>
      </w:r>
      <w:bookmarkStart w:id="0" w:name="4"/>
      <w:bookmarkStart w:id="1" w:name="12"/>
      <w:bookmarkStart w:id="2" w:name="76"/>
      <w:bookmarkEnd w:id="0"/>
      <w:bookmarkEnd w:id="1"/>
      <w:bookmarkEnd w:id="2"/>
    </w:p>
    <w:p w:rsidR="00650CF4" w:rsidRPr="00650CF4" w:rsidRDefault="00650CF4" w:rsidP="00650CF4">
      <w:pPr>
        <w:jc w:val="both"/>
        <w:rPr>
          <w:rFonts w:ascii="Times New Roman" w:hAnsi="Times New Roman" w:cs="Times New Roman"/>
          <w:sz w:val="28"/>
          <w:szCs w:val="28"/>
          <w:lang w:val="uk-UA"/>
        </w:rPr>
      </w:pPr>
      <w:r w:rsidRPr="00650CF4">
        <w:rPr>
          <w:rFonts w:ascii="Times New Roman" w:hAnsi="Times New Roman" w:cs="Times New Roman"/>
          <w:sz w:val="28"/>
          <w:szCs w:val="28"/>
          <w:lang w:val="uk-UA"/>
        </w:rPr>
        <w:t>Ст.88 ЦК України не передбачає обов’язкової наявності в установчих документах відомостей місцезнаходження юридичної особи. Таким чином, змінювати адресу можна не лише за рішенням загальних зборів кваліфікованою більшістю голосів (¾ ст..159 ЦК України), а за рішенням будь-якого іншого органу відповідно до повноважень, визначених статутом. Однак, як визначено ст.17 Закону України «Про державну реєстрацію юридичних та фізичних осіб - підприємців», відомості про місцезнаходження юридичної особи є відомостями Єдиного державного реєстру. Відповідно до ч.4 ст.89 ЦК України зміни до установчих документів юридичної особи набирають чинності для третіх осіб з дня їх державної реєстрації. У випадку, коли АТ не визначає своє місцезнаходження у статуті товариства, то відповідно не проводяться зміни в його. Виникає питання, коли набирає чинності рішення відповідного органу управління АТ про зміну місцезнаходження</w:t>
      </w:r>
      <w:r w:rsidRPr="00650CF4">
        <w:rPr>
          <w:rFonts w:ascii="Times New Roman" w:hAnsi="Times New Roman" w:cs="Times New Roman"/>
          <w:b/>
          <w:sz w:val="28"/>
          <w:szCs w:val="28"/>
          <w:lang w:val="uk-UA"/>
        </w:rPr>
        <w:t xml:space="preserve">? </w:t>
      </w:r>
      <w:r w:rsidRPr="00650CF4">
        <w:rPr>
          <w:rFonts w:ascii="Times New Roman" w:hAnsi="Times New Roman" w:cs="Times New Roman"/>
          <w:sz w:val="28"/>
          <w:szCs w:val="28"/>
          <w:lang w:val="uk-UA"/>
        </w:rPr>
        <w:t xml:space="preserve">Закон України «Про державну реєстрацію юридичних та фізичних осіб - підприємців» не визначає порядок набрання чинності змінами інформації, що міститься в Єдиному державному реєстрі, що не пов’язані зі змінами до статуту АТ. При цьому, законодавець не вніс зміни до ст.4 Закону України «Про господарські товариства», якою визначена обов’язковість </w:t>
      </w:r>
      <w:r w:rsidRPr="00650CF4">
        <w:rPr>
          <w:rFonts w:ascii="Times New Roman" w:hAnsi="Times New Roman" w:cs="Times New Roman"/>
          <w:sz w:val="28"/>
          <w:szCs w:val="28"/>
          <w:lang w:val="uk-UA"/>
        </w:rPr>
        <w:lastRenderedPageBreak/>
        <w:t>відомості про місцезнаходження господарського товариства у його статуті. АТ щорічно, починаючи з наступного року з дати його державної реєстрації, протягом одного</w:t>
      </w:r>
      <w:r w:rsidRPr="00650CF4">
        <w:rPr>
          <w:rFonts w:ascii="Times New Roman" w:hAnsi="Times New Roman" w:cs="Times New Roman"/>
          <w:i/>
          <w:sz w:val="28"/>
          <w:szCs w:val="28"/>
          <w:lang w:val="uk-UA"/>
        </w:rPr>
        <w:t xml:space="preserve"> </w:t>
      </w:r>
      <w:r w:rsidRPr="00650CF4">
        <w:rPr>
          <w:rFonts w:ascii="Times New Roman" w:hAnsi="Times New Roman" w:cs="Times New Roman"/>
          <w:sz w:val="28"/>
          <w:szCs w:val="28"/>
          <w:lang w:val="uk-UA"/>
        </w:rPr>
        <w:t>місяця, повинно подати державному реєстратору реєстраційну картку встановленого зразка про підтвердження відомостей про юридичну особу. Відомості до Єдиного державного реєстру підлягають обов’язковій публікації. Обов’язок проведення публікації покладений ч.18 ст.22 Закону на спеціальний уповноважений орган (печатний засіб масової інформації, де публікуються такі відомості – Бюлетень державної реєстрації). Ч.5 ст.24 Закону передбачає: У разі державної реєстрації відкритих акціонерних товариств крім документів, які передбачені частиною першою цієї статті, додатково подається звіт про проведення підписки на акції, який засвідчено Державною комісією з цінних паперів та фондового ринку України. Але, ч.2 ст.155 ЦК України вказує на неможливість відкритої підписки на акції при створенні АТ, тобто, виходячи зі</w:t>
      </w:r>
      <w:r w:rsidRPr="00650CF4">
        <w:rPr>
          <w:rFonts w:ascii="Times New Roman" w:hAnsi="Times New Roman" w:cs="Times New Roman"/>
          <w:i/>
          <w:sz w:val="28"/>
          <w:szCs w:val="28"/>
          <w:lang w:val="uk-UA"/>
        </w:rPr>
        <w:t xml:space="preserve"> </w:t>
      </w:r>
      <w:r w:rsidRPr="00650CF4">
        <w:rPr>
          <w:rFonts w:ascii="Times New Roman" w:hAnsi="Times New Roman" w:cs="Times New Roman"/>
          <w:sz w:val="28"/>
          <w:szCs w:val="28"/>
          <w:lang w:val="uk-UA"/>
        </w:rPr>
        <w:t>змісту даної норми, ніякого звіту про наслідки такої підписки не може бути взагалі.</w:t>
      </w:r>
    </w:p>
    <w:p w:rsidR="00650CF4" w:rsidRPr="00650CF4" w:rsidRDefault="00650CF4" w:rsidP="00650CF4">
      <w:pPr>
        <w:jc w:val="both"/>
        <w:rPr>
          <w:rFonts w:ascii="Times New Roman" w:hAnsi="Times New Roman" w:cs="Times New Roman"/>
          <w:sz w:val="28"/>
          <w:szCs w:val="28"/>
          <w:lang w:val="uk-UA"/>
        </w:rPr>
      </w:pPr>
      <w:r w:rsidRPr="00650CF4">
        <w:rPr>
          <w:rFonts w:ascii="Times New Roman" w:hAnsi="Times New Roman" w:cs="Times New Roman"/>
          <w:sz w:val="28"/>
          <w:szCs w:val="28"/>
          <w:lang w:val="uk-UA"/>
        </w:rPr>
        <w:t>Література</w:t>
      </w:r>
    </w:p>
    <w:p w:rsidR="00650CF4" w:rsidRPr="00650CF4" w:rsidRDefault="00650CF4" w:rsidP="00650CF4">
      <w:pPr>
        <w:jc w:val="both"/>
        <w:rPr>
          <w:rFonts w:ascii="Times New Roman" w:hAnsi="Times New Roman" w:cs="Times New Roman"/>
          <w:sz w:val="28"/>
          <w:szCs w:val="28"/>
          <w:lang w:val="uk-UA"/>
        </w:rPr>
      </w:pPr>
      <w:r w:rsidRPr="00650CF4">
        <w:rPr>
          <w:rFonts w:ascii="Times New Roman" w:hAnsi="Times New Roman" w:cs="Times New Roman"/>
          <w:sz w:val="28"/>
          <w:szCs w:val="28"/>
          <w:lang w:val="uk-UA"/>
        </w:rPr>
        <w:tab/>
        <w:t xml:space="preserve">1. Господарський кодекс України //Відомості Верховної Ради України. – 2003.- </w:t>
      </w:r>
      <w:r w:rsidRPr="00650CF4">
        <w:rPr>
          <w:rFonts w:ascii="Times New Roman" w:hAnsi="Times New Roman" w:cs="Times New Roman"/>
          <w:sz w:val="28"/>
          <w:szCs w:val="28"/>
        </w:rPr>
        <w:t>N</w:t>
      </w:r>
      <w:r w:rsidRPr="00650CF4">
        <w:rPr>
          <w:rFonts w:ascii="Times New Roman" w:hAnsi="Times New Roman" w:cs="Times New Roman"/>
          <w:sz w:val="28"/>
          <w:szCs w:val="28"/>
          <w:lang w:val="uk-UA"/>
        </w:rPr>
        <w:t xml:space="preserve"> 18, </w:t>
      </w:r>
      <w:r w:rsidRPr="00650CF4">
        <w:rPr>
          <w:rFonts w:ascii="Times New Roman" w:hAnsi="Times New Roman" w:cs="Times New Roman"/>
          <w:sz w:val="28"/>
          <w:szCs w:val="28"/>
        </w:rPr>
        <w:t>N</w:t>
      </w:r>
      <w:r w:rsidRPr="00650CF4">
        <w:rPr>
          <w:rFonts w:ascii="Times New Roman" w:hAnsi="Times New Roman" w:cs="Times New Roman"/>
          <w:sz w:val="28"/>
          <w:szCs w:val="28"/>
          <w:lang w:val="uk-UA"/>
        </w:rPr>
        <w:t xml:space="preserve"> 19-20,</w:t>
      </w:r>
      <w:r w:rsidRPr="00650CF4">
        <w:rPr>
          <w:rFonts w:ascii="Times New Roman" w:hAnsi="Times New Roman" w:cs="Times New Roman"/>
          <w:sz w:val="28"/>
          <w:szCs w:val="28"/>
        </w:rPr>
        <w:t>N</w:t>
      </w:r>
      <w:r w:rsidRPr="00650CF4">
        <w:rPr>
          <w:rFonts w:ascii="Times New Roman" w:hAnsi="Times New Roman" w:cs="Times New Roman"/>
          <w:sz w:val="28"/>
          <w:szCs w:val="28"/>
          <w:lang w:val="uk-UA"/>
        </w:rPr>
        <w:t xml:space="preserve"> 21-22. Ст.144.</w:t>
      </w:r>
    </w:p>
    <w:p w:rsidR="00650CF4" w:rsidRPr="00650CF4" w:rsidRDefault="00650CF4" w:rsidP="00650CF4">
      <w:pPr>
        <w:jc w:val="both"/>
        <w:rPr>
          <w:rFonts w:ascii="Times New Roman" w:hAnsi="Times New Roman" w:cs="Times New Roman"/>
          <w:sz w:val="28"/>
          <w:szCs w:val="28"/>
          <w:lang w:val="uk-UA"/>
        </w:rPr>
      </w:pPr>
      <w:r w:rsidRPr="00650CF4">
        <w:rPr>
          <w:rFonts w:ascii="Times New Roman" w:hAnsi="Times New Roman" w:cs="Times New Roman"/>
          <w:sz w:val="28"/>
          <w:szCs w:val="28"/>
          <w:lang w:val="uk-UA"/>
        </w:rPr>
        <w:tab/>
        <w:t xml:space="preserve">2. Цивільний кодекс України //Відомості Верховної Ради </w:t>
      </w:r>
      <w:proofErr w:type="spellStart"/>
      <w:r w:rsidRPr="00650CF4">
        <w:rPr>
          <w:rFonts w:ascii="Times New Roman" w:hAnsi="Times New Roman" w:cs="Times New Roman"/>
          <w:sz w:val="28"/>
          <w:szCs w:val="28"/>
          <w:lang w:val="uk-UA"/>
        </w:rPr>
        <w:t>України.-</w:t>
      </w:r>
      <w:proofErr w:type="spellEnd"/>
      <w:r w:rsidRPr="00650CF4">
        <w:rPr>
          <w:rFonts w:ascii="Times New Roman" w:hAnsi="Times New Roman" w:cs="Times New Roman"/>
          <w:sz w:val="28"/>
          <w:szCs w:val="28"/>
          <w:lang w:val="uk-UA"/>
        </w:rPr>
        <w:t xml:space="preserve"> 2003. </w:t>
      </w:r>
      <w:r w:rsidRPr="00650CF4">
        <w:rPr>
          <w:rFonts w:ascii="Times New Roman" w:hAnsi="Times New Roman" w:cs="Times New Roman"/>
          <w:sz w:val="28"/>
          <w:szCs w:val="28"/>
        </w:rPr>
        <w:t>NN</w:t>
      </w:r>
      <w:r w:rsidRPr="00650CF4">
        <w:rPr>
          <w:rFonts w:ascii="Times New Roman" w:hAnsi="Times New Roman" w:cs="Times New Roman"/>
          <w:sz w:val="28"/>
          <w:szCs w:val="28"/>
          <w:lang w:val="uk-UA"/>
        </w:rPr>
        <w:t xml:space="preserve"> 40-44. Ст.356.</w:t>
      </w:r>
    </w:p>
    <w:p w:rsidR="00650CF4" w:rsidRPr="00650CF4" w:rsidRDefault="00650CF4" w:rsidP="00650CF4">
      <w:pPr>
        <w:jc w:val="both"/>
        <w:rPr>
          <w:rFonts w:ascii="Times New Roman" w:hAnsi="Times New Roman" w:cs="Times New Roman"/>
          <w:sz w:val="28"/>
          <w:szCs w:val="28"/>
        </w:rPr>
      </w:pPr>
      <w:r w:rsidRPr="00650CF4">
        <w:rPr>
          <w:rFonts w:ascii="Times New Roman" w:hAnsi="Times New Roman" w:cs="Times New Roman"/>
          <w:sz w:val="28"/>
          <w:szCs w:val="28"/>
          <w:lang w:val="uk-UA"/>
        </w:rPr>
        <w:tab/>
        <w:t xml:space="preserve">3. </w:t>
      </w:r>
      <w:proofErr w:type="spellStart"/>
      <w:r w:rsidRPr="00650CF4">
        <w:rPr>
          <w:rFonts w:ascii="Times New Roman" w:hAnsi="Times New Roman" w:cs="Times New Roman"/>
          <w:sz w:val="28"/>
          <w:szCs w:val="28"/>
          <w:lang w:val="uk-UA"/>
        </w:rPr>
        <w:t>Здоронюк</w:t>
      </w:r>
      <w:proofErr w:type="spellEnd"/>
      <w:r w:rsidRPr="00650CF4">
        <w:rPr>
          <w:rFonts w:ascii="Times New Roman" w:hAnsi="Times New Roman" w:cs="Times New Roman"/>
          <w:sz w:val="28"/>
          <w:szCs w:val="28"/>
          <w:lang w:val="uk-UA"/>
        </w:rPr>
        <w:t xml:space="preserve"> Г. З. Актуальні питання діяльності акціонерних товариств.-К.: </w:t>
      </w:r>
      <w:proofErr w:type="spellStart"/>
      <w:r w:rsidRPr="00650CF4">
        <w:rPr>
          <w:rFonts w:ascii="Times New Roman" w:hAnsi="Times New Roman" w:cs="Times New Roman"/>
          <w:sz w:val="28"/>
          <w:szCs w:val="28"/>
          <w:lang w:val="uk-UA"/>
        </w:rPr>
        <w:t>Юридическая</w:t>
      </w:r>
      <w:proofErr w:type="spellEnd"/>
      <w:r w:rsidRPr="00650CF4">
        <w:rPr>
          <w:rFonts w:ascii="Times New Roman" w:hAnsi="Times New Roman" w:cs="Times New Roman"/>
          <w:sz w:val="28"/>
          <w:szCs w:val="28"/>
          <w:lang w:val="uk-UA"/>
        </w:rPr>
        <w:t xml:space="preserve"> практика, 2007.-480с.</w:t>
      </w:r>
    </w:p>
    <w:p w:rsidR="00650CF4" w:rsidRPr="00650CF4" w:rsidRDefault="00650CF4" w:rsidP="00650CF4">
      <w:pPr>
        <w:jc w:val="both"/>
        <w:rPr>
          <w:rFonts w:ascii="Times New Roman" w:hAnsi="Times New Roman" w:cs="Times New Roman"/>
          <w:sz w:val="28"/>
          <w:szCs w:val="28"/>
        </w:rPr>
      </w:pPr>
      <w:r w:rsidRPr="00650CF4">
        <w:rPr>
          <w:rFonts w:ascii="Times New Roman" w:hAnsi="Times New Roman" w:cs="Times New Roman"/>
          <w:sz w:val="28"/>
          <w:szCs w:val="28"/>
          <w:lang w:val="uk-UA"/>
        </w:rPr>
        <w:tab/>
        <w:t xml:space="preserve">4. В.Кравчук Проблеми підвідомчості корпоративних спорів // Юридичний </w:t>
      </w:r>
      <w:proofErr w:type="spellStart"/>
      <w:r w:rsidRPr="00650CF4">
        <w:rPr>
          <w:rFonts w:ascii="Times New Roman" w:hAnsi="Times New Roman" w:cs="Times New Roman"/>
          <w:sz w:val="28"/>
          <w:szCs w:val="28"/>
          <w:lang w:val="uk-UA"/>
        </w:rPr>
        <w:t>радник.-</w:t>
      </w:r>
      <w:proofErr w:type="spellEnd"/>
      <w:r w:rsidRPr="00650CF4">
        <w:rPr>
          <w:rFonts w:ascii="Times New Roman" w:hAnsi="Times New Roman" w:cs="Times New Roman"/>
          <w:sz w:val="28"/>
          <w:szCs w:val="28"/>
          <w:lang w:val="uk-UA"/>
        </w:rPr>
        <w:t xml:space="preserve"> 2008.-№ 4.- С.28-33.</w:t>
      </w:r>
    </w:p>
    <w:p w:rsidR="006E76C4" w:rsidRPr="00650CF4" w:rsidRDefault="006E76C4" w:rsidP="00650CF4">
      <w:pPr>
        <w:jc w:val="both"/>
        <w:rPr>
          <w:rFonts w:ascii="Times New Roman" w:hAnsi="Times New Roman" w:cs="Times New Roman"/>
          <w:sz w:val="28"/>
          <w:szCs w:val="28"/>
        </w:rPr>
      </w:pPr>
      <w:bookmarkStart w:id="3" w:name="_GoBack"/>
      <w:bookmarkEnd w:id="3"/>
    </w:p>
    <w:sectPr w:rsidR="006E76C4" w:rsidRPr="00650C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B66"/>
    <w:rsid w:val="00551B66"/>
    <w:rsid w:val="00650CF4"/>
    <w:rsid w:val="006E7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4773</Characters>
  <Application>Microsoft Office Word</Application>
  <DocSecurity>0</DocSecurity>
  <Lines>39</Lines>
  <Paragraphs>11</Paragraphs>
  <ScaleCrop>false</ScaleCrop>
  <Company>WareZ Provider </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2016-02-28T18:37:00Z</dcterms:created>
  <dcterms:modified xsi:type="dcterms:W3CDTF">2016-02-28T18:37:00Z</dcterms:modified>
</cp:coreProperties>
</file>