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78" w:rsidRPr="00156C78" w:rsidRDefault="00156C78" w:rsidP="00156C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t>УДК 378.037(045)</w:t>
      </w:r>
    </w:p>
    <w:p w:rsidR="00156C78" w:rsidRPr="00156C78" w:rsidRDefault="00156C78" w:rsidP="00156C78">
      <w:pPr>
        <w:pStyle w:val="a3"/>
        <w:spacing w:line="360" w:lineRule="auto"/>
        <w:rPr>
          <w:sz w:val="28"/>
          <w:szCs w:val="28"/>
          <w:lang w:val="uk-UA"/>
        </w:rPr>
      </w:pPr>
      <w:r w:rsidRPr="00156C78">
        <w:rPr>
          <w:sz w:val="28"/>
          <w:szCs w:val="28"/>
        </w:rPr>
        <w:t>Л. О. Хоменко-Семенова</w:t>
      </w:r>
    </w:p>
    <w:p w:rsidR="00156C78" w:rsidRPr="00156C78" w:rsidRDefault="00156C78" w:rsidP="00156C78">
      <w:pPr>
        <w:pStyle w:val="a4"/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156C78">
        <w:rPr>
          <w:rFonts w:eastAsia="Calibri"/>
          <w:sz w:val="28"/>
          <w:szCs w:val="28"/>
          <w:lang w:val="uk-UA" w:eastAsia="en-US"/>
        </w:rPr>
        <w:t xml:space="preserve">КРИТЕРІЇ, ПОКАЗНИКИ ТА РІВНІ СФОРМУВАНОСТІ ГОТОВНОСТІ МАЙБУТНІХ СОЦІАЛЬНИХ ПРАЦІВНИКІВ ДО ВИКОРИСТАННЯ ІНТЕРАКТИВНИХ </w:t>
      </w:r>
      <w:r w:rsidRPr="00156C78">
        <w:rPr>
          <w:rFonts w:eastAsia="Calibri"/>
          <w:sz w:val="28"/>
          <w:szCs w:val="28"/>
          <w:lang w:val="uk-UA" w:eastAsia="en-US"/>
        </w:rPr>
        <w:br/>
        <w:t>ТЕХНОЛОГІЙ У ПРОФЕСІЙНІЙ ДІЯЛЬНОСТІ</w:t>
      </w:r>
    </w:p>
    <w:p w:rsidR="00156C78" w:rsidRPr="00156C78" w:rsidRDefault="00156C78" w:rsidP="00156C78">
      <w:pPr>
        <w:pStyle w:val="a7"/>
        <w:spacing w:line="360" w:lineRule="auto"/>
        <w:rPr>
          <w:sz w:val="28"/>
          <w:szCs w:val="28"/>
        </w:rPr>
      </w:pPr>
      <w:r w:rsidRPr="00156C78">
        <w:rPr>
          <w:spacing w:val="-4"/>
          <w:sz w:val="28"/>
          <w:szCs w:val="28"/>
        </w:rPr>
        <w:t>Стаття присвячена актуальній проблемі підготовки майбутніх соціальних працівників, професі</w:t>
      </w:r>
      <w:r w:rsidRPr="00156C78">
        <w:rPr>
          <w:spacing w:val="-4"/>
          <w:sz w:val="28"/>
          <w:szCs w:val="28"/>
        </w:rPr>
        <w:t>й</w:t>
      </w:r>
      <w:r w:rsidRPr="00156C78">
        <w:rPr>
          <w:spacing w:val="-4"/>
          <w:sz w:val="28"/>
          <w:szCs w:val="28"/>
        </w:rPr>
        <w:t xml:space="preserve">ний рівень яких повинен відповідати вимогам сьогодення. </w:t>
      </w:r>
      <w:r w:rsidRPr="00156C78">
        <w:rPr>
          <w:color w:val="000000"/>
          <w:spacing w:val="-4"/>
          <w:sz w:val="28"/>
          <w:szCs w:val="28"/>
        </w:rPr>
        <w:t>У роботі розкрито суть змісту готовності майбутніх соціальних працівників до використання інтерактивних технологій у професійній діяльності, обґрунтовані критерії, показники та рівні сформованості означуваної готовності</w:t>
      </w:r>
      <w:r w:rsidRPr="00156C78">
        <w:rPr>
          <w:color w:val="000000"/>
          <w:sz w:val="28"/>
          <w:szCs w:val="28"/>
        </w:rPr>
        <w:t>.</w:t>
      </w:r>
    </w:p>
    <w:p w:rsidR="00156C78" w:rsidRPr="00156C78" w:rsidRDefault="00156C78" w:rsidP="00156C78">
      <w:pPr>
        <w:pStyle w:val="a7"/>
        <w:spacing w:line="360" w:lineRule="auto"/>
        <w:rPr>
          <w:i w:val="0"/>
          <w:sz w:val="28"/>
          <w:szCs w:val="28"/>
        </w:rPr>
      </w:pPr>
      <w:r w:rsidRPr="00156C78">
        <w:rPr>
          <w:b/>
          <w:i w:val="0"/>
          <w:sz w:val="28"/>
          <w:szCs w:val="28"/>
        </w:rPr>
        <w:t>Ключові слова:</w:t>
      </w:r>
      <w:r w:rsidRPr="00156C78">
        <w:rPr>
          <w:i w:val="0"/>
          <w:sz w:val="28"/>
          <w:szCs w:val="28"/>
        </w:rPr>
        <w:t xml:space="preserve"> готовність, інтерактивні технології, критерії, показники, рівні готовності, соц</w:t>
      </w:r>
      <w:r w:rsidRPr="00156C78">
        <w:rPr>
          <w:i w:val="0"/>
          <w:sz w:val="28"/>
          <w:szCs w:val="28"/>
        </w:rPr>
        <w:t>і</w:t>
      </w:r>
      <w:r w:rsidRPr="00156C78">
        <w:rPr>
          <w:i w:val="0"/>
          <w:sz w:val="28"/>
          <w:szCs w:val="28"/>
        </w:rPr>
        <w:t>альний працівник.</w:t>
      </w:r>
    </w:p>
    <w:p w:rsidR="00156C78" w:rsidRPr="00156C78" w:rsidRDefault="00156C78" w:rsidP="00156C78">
      <w:pPr>
        <w:pStyle w:val="1"/>
        <w:spacing w:before="240" w:line="360" w:lineRule="auto"/>
        <w:rPr>
          <w:sz w:val="28"/>
          <w:szCs w:val="28"/>
        </w:rPr>
      </w:pPr>
      <w:r w:rsidRPr="00156C78">
        <w:rPr>
          <w:b/>
          <w:sz w:val="28"/>
          <w:szCs w:val="28"/>
        </w:rPr>
        <w:t>Постановка проблеми.</w:t>
      </w:r>
      <w:r w:rsidRPr="00156C78">
        <w:rPr>
          <w:sz w:val="28"/>
          <w:szCs w:val="28"/>
        </w:rPr>
        <w:t xml:space="preserve"> </w:t>
      </w:r>
      <w:r w:rsidRPr="00156C78">
        <w:rPr>
          <w:rFonts w:eastAsia="TimesNewRoman"/>
          <w:sz w:val="28"/>
          <w:szCs w:val="28"/>
        </w:rPr>
        <w:t>Інтеграційні процеси вищої освіти України у європейський освітній простір передбачають підготовку фахівців нової генерації; формування компетентного, висококвал</w:t>
      </w:r>
      <w:r w:rsidRPr="00156C78">
        <w:rPr>
          <w:rFonts w:eastAsia="TimesNewRoman"/>
          <w:sz w:val="28"/>
          <w:szCs w:val="28"/>
        </w:rPr>
        <w:t>і</w:t>
      </w:r>
      <w:r w:rsidRPr="00156C78">
        <w:rPr>
          <w:rFonts w:eastAsia="TimesNewRoman"/>
          <w:sz w:val="28"/>
          <w:szCs w:val="28"/>
        </w:rPr>
        <w:t>фікованого спеціаліста, який буде відповідати міжнародним вимогам та стандартам якості. Важливу роль у цьому</w:t>
      </w:r>
      <w:r w:rsidRPr="00156C78">
        <w:rPr>
          <w:sz w:val="28"/>
          <w:szCs w:val="28"/>
        </w:rPr>
        <w:t xml:space="preserve"> </w:t>
      </w:r>
      <w:r w:rsidRPr="00156C78">
        <w:rPr>
          <w:rFonts w:eastAsia="TimesNewRoman"/>
          <w:sz w:val="28"/>
          <w:szCs w:val="28"/>
        </w:rPr>
        <w:t>процесі відіграє вища школа, першочерговим завданням якої є створення</w:t>
      </w:r>
      <w:r w:rsidRPr="00156C78">
        <w:rPr>
          <w:sz w:val="28"/>
          <w:szCs w:val="28"/>
        </w:rPr>
        <w:t xml:space="preserve"> </w:t>
      </w:r>
      <w:r w:rsidRPr="00156C78">
        <w:rPr>
          <w:rFonts w:eastAsia="TimesNewRoman"/>
          <w:sz w:val="28"/>
          <w:szCs w:val="28"/>
        </w:rPr>
        <w:t>умов для еф</w:t>
      </w:r>
      <w:r w:rsidRPr="00156C78">
        <w:rPr>
          <w:rFonts w:eastAsia="TimesNewRoman"/>
          <w:sz w:val="28"/>
          <w:szCs w:val="28"/>
        </w:rPr>
        <w:t>е</w:t>
      </w:r>
      <w:r w:rsidRPr="00156C78">
        <w:rPr>
          <w:rFonts w:eastAsia="TimesNewRoman"/>
          <w:sz w:val="28"/>
          <w:szCs w:val="28"/>
        </w:rPr>
        <w:t>ктивного формування та розвитку конкурентоспроможного фахівця.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Виявити рівень готовності майбутніх соціальних працівників до ефективної професійної діяльності</w:t>
      </w:r>
      <w:r w:rsidRPr="00156C78">
        <w:rPr>
          <w:rFonts w:eastAsia="TimesNewRoman"/>
          <w:sz w:val="28"/>
          <w:szCs w:val="28"/>
        </w:rPr>
        <w:t xml:space="preserve"> можна завдяки </w:t>
      </w:r>
      <w:proofErr w:type="spellStart"/>
      <w:r w:rsidRPr="00156C78">
        <w:rPr>
          <w:rFonts w:eastAsia="TimesNewRoman"/>
          <w:sz w:val="28"/>
          <w:szCs w:val="28"/>
        </w:rPr>
        <w:t>критеріальному</w:t>
      </w:r>
      <w:proofErr w:type="spellEnd"/>
      <w:r w:rsidRPr="00156C78">
        <w:rPr>
          <w:rFonts w:eastAsia="TimesNewRoman"/>
          <w:sz w:val="28"/>
          <w:szCs w:val="28"/>
        </w:rPr>
        <w:t xml:space="preserve"> підходу, який надає змогу ідентифікувати та обґрунтувати ек</w:t>
      </w:r>
      <w:r w:rsidRPr="00156C78">
        <w:rPr>
          <w:rFonts w:eastAsia="TimesNewRoman"/>
          <w:sz w:val="28"/>
          <w:szCs w:val="28"/>
        </w:rPr>
        <w:t>с</w:t>
      </w:r>
      <w:r w:rsidRPr="00156C78">
        <w:rPr>
          <w:rFonts w:eastAsia="TimesNewRoman"/>
          <w:sz w:val="28"/>
          <w:szCs w:val="28"/>
        </w:rPr>
        <w:t>периментальні дані, що були отримані під час проведення педагогічного дослідження.</w:t>
      </w:r>
      <w:r w:rsidRPr="00156C78">
        <w:rPr>
          <w:sz w:val="28"/>
          <w:szCs w:val="28"/>
        </w:rPr>
        <w:t xml:space="preserve"> 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b/>
          <w:sz w:val="28"/>
          <w:szCs w:val="28"/>
        </w:rPr>
        <w:t xml:space="preserve">Аналіз останніх досліджень і публікацій. </w:t>
      </w:r>
      <w:r w:rsidRPr="00156C78">
        <w:rPr>
          <w:rFonts w:eastAsia="Calibri"/>
          <w:sz w:val="28"/>
          <w:szCs w:val="28"/>
        </w:rPr>
        <w:t>Аналіз сучасних досліджень та наукових публік</w:t>
      </w:r>
      <w:r w:rsidRPr="00156C78">
        <w:rPr>
          <w:rFonts w:eastAsia="Calibri"/>
          <w:sz w:val="28"/>
          <w:szCs w:val="28"/>
        </w:rPr>
        <w:t>а</w:t>
      </w:r>
      <w:r w:rsidRPr="00156C78">
        <w:rPr>
          <w:rFonts w:eastAsia="Calibri"/>
          <w:sz w:val="28"/>
          <w:szCs w:val="28"/>
        </w:rPr>
        <w:t>ції дає можливість зробити висновок про те, що проблему визначення критеріїв та показників сформов</w:t>
      </w:r>
      <w:r w:rsidRPr="00156C78">
        <w:rPr>
          <w:rFonts w:eastAsia="Calibri"/>
          <w:sz w:val="28"/>
          <w:szCs w:val="28"/>
        </w:rPr>
        <w:t>а</w:t>
      </w:r>
      <w:r w:rsidRPr="00156C78">
        <w:rPr>
          <w:rFonts w:eastAsia="Calibri"/>
          <w:sz w:val="28"/>
          <w:szCs w:val="28"/>
        </w:rPr>
        <w:t xml:space="preserve">ності готовності до </w:t>
      </w:r>
      <w:r w:rsidRPr="00156C78">
        <w:rPr>
          <w:rFonts w:eastAsia="Calibri"/>
          <w:sz w:val="28"/>
          <w:szCs w:val="28"/>
        </w:rPr>
        <w:lastRenderedPageBreak/>
        <w:t>використання інтерактивних технологій, а також критерії та показники розгляд</w:t>
      </w:r>
      <w:r w:rsidRPr="00156C78">
        <w:rPr>
          <w:rFonts w:eastAsia="Calibri"/>
          <w:sz w:val="28"/>
          <w:szCs w:val="28"/>
        </w:rPr>
        <w:t>а</w:t>
      </w:r>
      <w:r w:rsidRPr="00156C78">
        <w:rPr>
          <w:rFonts w:eastAsia="Calibri"/>
          <w:sz w:val="28"/>
          <w:szCs w:val="28"/>
        </w:rPr>
        <w:t xml:space="preserve">лися у працях Л. </w:t>
      </w:r>
      <w:proofErr w:type="spellStart"/>
      <w:r w:rsidRPr="00156C78">
        <w:rPr>
          <w:rFonts w:eastAsia="Calibri"/>
          <w:sz w:val="28"/>
          <w:szCs w:val="28"/>
        </w:rPr>
        <w:t>Бєкірової</w:t>
      </w:r>
      <w:proofErr w:type="spellEnd"/>
      <w:r w:rsidRPr="00156C78">
        <w:rPr>
          <w:rFonts w:eastAsia="Calibri"/>
          <w:sz w:val="28"/>
          <w:szCs w:val="28"/>
        </w:rPr>
        <w:t xml:space="preserve">, Н. Павленко, Г. Пономарьова, Т. Сердюк, А. </w:t>
      </w:r>
      <w:proofErr w:type="spellStart"/>
      <w:r w:rsidRPr="00156C78">
        <w:rPr>
          <w:rFonts w:eastAsia="Calibri"/>
          <w:sz w:val="28"/>
          <w:szCs w:val="28"/>
        </w:rPr>
        <w:t>Смолкіна</w:t>
      </w:r>
      <w:proofErr w:type="spellEnd"/>
      <w:r w:rsidRPr="00156C78">
        <w:rPr>
          <w:rFonts w:eastAsia="Calibri"/>
          <w:sz w:val="28"/>
          <w:szCs w:val="28"/>
        </w:rPr>
        <w:t xml:space="preserve"> та ін. Проте у їхніх дослідженнях існують певні розбіжності та не визначено критеріїв та показників готовності майбу</w:t>
      </w:r>
      <w:r w:rsidRPr="00156C78">
        <w:rPr>
          <w:rFonts w:eastAsia="Calibri"/>
          <w:sz w:val="28"/>
          <w:szCs w:val="28"/>
        </w:rPr>
        <w:t>т</w:t>
      </w:r>
      <w:r w:rsidRPr="00156C78">
        <w:rPr>
          <w:rFonts w:eastAsia="Calibri"/>
          <w:sz w:val="28"/>
          <w:szCs w:val="28"/>
        </w:rPr>
        <w:t>ніх соціальних працівників до використання інтерактивних технологій у професійній діяльн</w:t>
      </w:r>
      <w:r w:rsidRPr="00156C78">
        <w:rPr>
          <w:rFonts w:eastAsia="Calibri"/>
          <w:sz w:val="28"/>
          <w:szCs w:val="28"/>
        </w:rPr>
        <w:t>о</w:t>
      </w:r>
      <w:r w:rsidRPr="00156C78">
        <w:rPr>
          <w:rFonts w:eastAsia="Calibri"/>
          <w:sz w:val="28"/>
          <w:szCs w:val="28"/>
        </w:rPr>
        <w:t>сті.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pacing w:val="-4"/>
          <w:sz w:val="28"/>
          <w:szCs w:val="28"/>
        </w:rPr>
      </w:pPr>
      <w:r w:rsidRPr="00156C78">
        <w:rPr>
          <w:rFonts w:eastAsia="Calibri"/>
          <w:b/>
          <w:spacing w:val="-4"/>
          <w:sz w:val="28"/>
          <w:szCs w:val="28"/>
        </w:rPr>
        <w:t>Метою даної статті</w:t>
      </w:r>
      <w:r w:rsidRPr="00156C78">
        <w:rPr>
          <w:rFonts w:eastAsia="Calibri"/>
          <w:spacing w:val="-4"/>
          <w:sz w:val="28"/>
          <w:szCs w:val="28"/>
        </w:rPr>
        <w:t xml:space="preserve"> є обґрунтування критеріїв і показників рівня сформованості готовності майбутніх соціальних працівників до використання інтерактивних технологій у професійній діяльн</w:t>
      </w:r>
      <w:r w:rsidRPr="00156C78">
        <w:rPr>
          <w:rFonts w:eastAsia="Calibri"/>
          <w:spacing w:val="-4"/>
          <w:sz w:val="28"/>
          <w:szCs w:val="28"/>
        </w:rPr>
        <w:t>о</w:t>
      </w:r>
      <w:r w:rsidRPr="00156C78">
        <w:rPr>
          <w:rFonts w:eastAsia="Calibri"/>
          <w:spacing w:val="-4"/>
          <w:sz w:val="28"/>
          <w:szCs w:val="28"/>
        </w:rPr>
        <w:t>сті.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b/>
          <w:sz w:val="28"/>
          <w:szCs w:val="28"/>
        </w:rPr>
        <w:t xml:space="preserve">Виклад основного матеріалу. </w:t>
      </w:r>
      <w:r w:rsidRPr="00156C78">
        <w:rPr>
          <w:i/>
          <w:sz w:val="28"/>
          <w:szCs w:val="28"/>
        </w:rPr>
        <w:t>Готовність майбутніх соціальних працівників до використа</w:t>
      </w:r>
      <w:r w:rsidRPr="00156C78">
        <w:rPr>
          <w:i/>
          <w:sz w:val="28"/>
          <w:szCs w:val="28"/>
        </w:rPr>
        <w:t>н</w:t>
      </w:r>
      <w:r w:rsidRPr="00156C78">
        <w:rPr>
          <w:i/>
          <w:sz w:val="28"/>
          <w:szCs w:val="28"/>
        </w:rPr>
        <w:t>ня інтерактивних технологій у професійній діяльності</w:t>
      </w:r>
      <w:r w:rsidRPr="00156C78">
        <w:rPr>
          <w:sz w:val="28"/>
          <w:szCs w:val="28"/>
        </w:rPr>
        <w:t xml:space="preserve"> розглядається нами як інтегративне утворення </w:t>
      </w:r>
      <w:r w:rsidRPr="00156C78">
        <w:rPr>
          <w:spacing w:val="-4"/>
          <w:sz w:val="28"/>
          <w:szCs w:val="28"/>
        </w:rPr>
        <w:t xml:space="preserve">особистості, що має системну організацію, складну, багаторівневу структуру і виступає як сукупність, взаємодія і взаємопроникнення </w:t>
      </w:r>
      <w:proofErr w:type="spellStart"/>
      <w:r w:rsidRPr="00156C78">
        <w:rPr>
          <w:spacing w:val="-4"/>
          <w:sz w:val="28"/>
          <w:szCs w:val="28"/>
        </w:rPr>
        <w:t>мотіваційно-ціннісного</w:t>
      </w:r>
      <w:proofErr w:type="spellEnd"/>
      <w:r w:rsidRPr="00156C78">
        <w:rPr>
          <w:spacing w:val="-4"/>
          <w:sz w:val="28"/>
          <w:szCs w:val="28"/>
        </w:rPr>
        <w:t xml:space="preserve">, комунікативного, когнітивного, </w:t>
      </w:r>
      <w:proofErr w:type="spellStart"/>
      <w:r w:rsidRPr="00156C78">
        <w:rPr>
          <w:spacing w:val="-4"/>
          <w:sz w:val="28"/>
          <w:szCs w:val="28"/>
        </w:rPr>
        <w:t>особ</w:t>
      </w:r>
      <w:r w:rsidRPr="00156C78">
        <w:rPr>
          <w:spacing w:val="-4"/>
          <w:sz w:val="28"/>
          <w:szCs w:val="28"/>
        </w:rPr>
        <w:t>и</w:t>
      </w:r>
      <w:r w:rsidRPr="00156C78">
        <w:rPr>
          <w:spacing w:val="-4"/>
          <w:sz w:val="28"/>
          <w:szCs w:val="28"/>
        </w:rPr>
        <w:t>стісно-діяльнісного</w:t>
      </w:r>
      <w:proofErr w:type="spellEnd"/>
      <w:r w:rsidRPr="00156C78">
        <w:rPr>
          <w:spacing w:val="-4"/>
          <w:sz w:val="28"/>
          <w:szCs w:val="28"/>
        </w:rPr>
        <w:t xml:space="preserve"> й рефлексивного компонентів, ступінь сформованості яких дозволяє майбутнім соціальним працівникам продуктивно використовувати можливості інтерактивних технологій при вирішенні проф</w:t>
      </w:r>
      <w:r w:rsidRPr="00156C78">
        <w:rPr>
          <w:spacing w:val="-4"/>
          <w:sz w:val="28"/>
          <w:szCs w:val="28"/>
        </w:rPr>
        <w:t>е</w:t>
      </w:r>
      <w:r w:rsidRPr="00156C78">
        <w:rPr>
          <w:spacing w:val="-4"/>
          <w:sz w:val="28"/>
          <w:szCs w:val="28"/>
        </w:rPr>
        <w:t>сійних завдань, удосконалювати свій досвід у їх використанні й розширювати його межі</w:t>
      </w:r>
      <w:r w:rsidRPr="00156C78">
        <w:rPr>
          <w:sz w:val="28"/>
          <w:szCs w:val="28"/>
        </w:rPr>
        <w:t>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Розкриваючи суть кожного компонента готовності ми виділили його критерії та показники.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rFonts w:eastAsia="TimesNewRomanPSMT"/>
          <w:sz w:val="28"/>
          <w:szCs w:val="28"/>
        </w:rPr>
        <w:t xml:space="preserve">Перш за все, звернемося до </w:t>
      </w:r>
      <w:proofErr w:type="spellStart"/>
      <w:r w:rsidRPr="00156C78">
        <w:rPr>
          <w:rFonts w:eastAsia="TimesNewRomanPSMT"/>
          <w:sz w:val="28"/>
          <w:szCs w:val="28"/>
        </w:rPr>
        <w:t>критеріального</w:t>
      </w:r>
      <w:proofErr w:type="spellEnd"/>
      <w:r w:rsidRPr="00156C78">
        <w:rPr>
          <w:rFonts w:eastAsia="TimesNewRomanPSMT"/>
          <w:sz w:val="28"/>
          <w:szCs w:val="28"/>
        </w:rPr>
        <w:t xml:space="preserve"> осмислення досліджуваного явища, що дасть змогу оцінити ефективність визначених рівнів готовності майбутніх соціальних працівників до використа</w:t>
      </w:r>
      <w:r w:rsidRPr="00156C78">
        <w:rPr>
          <w:rFonts w:eastAsia="TimesNewRomanPSMT"/>
          <w:sz w:val="28"/>
          <w:szCs w:val="28"/>
        </w:rPr>
        <w:t>н</w:t>
      </w:r>
      <w:r w:rsidRPr="00156C78">
        <w:rPr>
          <w:rFonts w:eastAsia="TimesNewRomanPSMT"/>
          <w:sz w:val="28"/>
          <w:szCs w:val="28"/>
        </w:rPr>
        <w:t xml:space="preserve">ня інтерактивних технологій у професійній діяльності. </w:t>
      </w:r>
      <w:r w:rsidRPr="00156C78">
        <w:rPr>
          <w:bCs/>
          <w:sz w:val="28"/>
          <w:szCs w:val="28"/>
        </w:rPr>
        <w:t>Проведений теоретичний аналіз наукової літ</w:t>
      </w:r>
      <w:r w:rsidRPr="00156C78">
        <w:rPr>
          <w:bCs/>
          <w:sz w:val="28"/>
          <w:szCs w:val="28"/>
        </w:rPr>
        <w:t>е</w:t>
      </w:r>
      <w:r w:rsidRPr="00156C78">
        <w:rPr>
          <w:bCs/>
          <w:sz w:val="28"/>
          <w:szCs w:val="28"/>
        </w:rPr>
        <w:t>ратури дозволив нам встановити, що</w:t>
      </w:r>
      <w:r w:rsidRPr="00156C78">
        <w:rPr>
          <w:sz w:val="28"/>
          <w:szCs w:val="28"/>
        </w:rPr>
        <w:t xml:space="preserve"> у педагогічній практиці існує декілька підходів щодо визначе</w:t>
      </w:r>
      <w:r w:rsidRPr="00156C78">
        <w:rPr>
          <w:sz w:val="28"/>
          <w:szCs w:val="28"/>
        </w:rPr>
        <w:t>н</w:t>
      </w:r>
      <w:r w:rsidRPr="00156C78">
        <w:rPr>
          <w:sz w:val="28"/>
          <w:szCs w:val="28"/>
        </w:rPr>
        <w:t xml:space="preserve">ня критеріїв та їх показників. 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  <w:lang w:eastAsia="en-US"/>
        </w:rPr>
      </w:pPr>
      <w:r w:rsidRPr="00156C78">
        <w:rPr>
          <w:rFonts w:eastAsia="Calibri"/>
          <w:sz w:val="28"/>
          <w:szCs w:val="28"/>
          <w:lang w:eastAsia="en-US"/>
        </w:rPr>
        <w:t>За визначенням відомих українських науковців [2], критерій є ознакою, за якою класифікуют</w:t>
      </w:r>
      <w:r w:rsidRPr="00156C78">
        <w:rPr>
          <w:rFonts w:eastAsia="Calibri"/>
          <w:sz w:val="28"/>
          <w:szCs w:val="28"/>
          <w:lang w:eastAsia="en-US"/>
        </w:rPr>
        <w:t>ь</w:t>
      </w:r>
      <w:r w:rsidRPr="00156C78">
        <w:rPr>
          <w:rFonts w:eastAsia="Calibri"/>
          <w:sz w:val="28"/>
          <w:szCs w:val="28"/>
          <w:lang w:eastAsia="en-US"/>
        </w:rPr>
        <w:t>ся, контролюються (та одержують оцінки) психічні явища, дії або діяльність, зокрема при їх формал</w:t>
      </w:r>
      <w:r w:rsidRPr="00156C78">
        <w:rPr>
          <w:rFonts w:eastAsia="Calibri"/>
          <w:sz w:val="28"/>
          <w:szCs w:val="28"/>
          <w:lang w:eastAsia="en-US"/>
        </w:rPr>
        <w:t>і</w:t>
      </w:r>
      <w:r w:rsidRPr="00156C78">
        <w:rPr>
          <w:rFonts w:eastAsia="Calibri"/>
          <w:sz w:val="28"/>
          <w:szCs w:val="28"/>
          <w:lang w:eastAsia="en-US"/>
        </w:rPr>
        <w:t xml:space="preserve">зації. Але слід зазначити, що </w:t>
      </w:r>
      <w:r w:rsidRPr="00156C78">
        <w:rPr>
          <w:rFonts w:eastAsia="Calibri"/>
          <w:sz w:val="28"/>
          <w:szCs w:val="28"/>
          <w:lang w:eastAsia="en-US"/>
        </w:rPr>
        <w:lastRenderedPageBreak/>
        <w:t>у педагогічній науці під поняттям контролю розуміють виявлення, вимір і оцінку результатів навчально-пізнавальної діяльності учнів, хоча такі науковці як В.</w:t>
      </w:r>
      <w:r w:rsidRPr="00156C78">
        <w:rPr>
          <w:rFonts w:eastAsia="Calibri"/>
          <w:sz w:val="28"/>
          <w:szCs w:val="28"/>
          <w:lang w:val="en-US" w:eastAsia="en-US"/>
        </w:rPr>
        <w:t> </w:t>
      </w:r>
      <w:proofErr w:type="spellStart"/>
      <w:r w:rsidRPr="00156C78">
        <w:rPr>
          <w:rFonts w:eastAsia="Calibri"/>
          <w:sz w:val="28"/>
          <w:szCs w:val="28"/>
          <w:lang w:eastAsia="en-US"/>
        </w:rPr>
        <w:t>Кузьмінський</w:t>
      </w:r>
      <w:proofErr w:type="spellEnd"/>
      <w:r w:rsidRPr="00156C78">
        <w:rPr>
          <w:rFonts w:eastAsia="Calibri"/>
          <w:sz w:val="28"/>
          <w:szCs w:val="28"/>
          <w:lang w:eastAsia="en-US"/>
        </w:rPr>
        <w:t>, у зв’язку з розвитком демократичного суспільства, відмовляються від терміну контроль, вбачаючи у ньому відлуння авторитарності і пропонують вживати термін оцінювання.</w:t>
      </w:r>
    </w:p>
    <w:p w:rsidR="00156C78" w:rsidRPr="00156C78" w:rsidRDefault="00156C78" w:rsidP="00156C78">
      <w:pPr>
        <w:pStyle w:val="1"/>
        <w:spacing w:line="360" w:lineRule="auto"/>
        <w:rPr>
          <w:rFonts w:eastAsia="TimesNewRomanPSMT"/>
          <w:sz w:val="28"/>
          <w:szCs w:val="28"/>
        </w:rPr>
      </w:pPr>
      <w:r w:rsidRPr="00156C78">
        <w:rPr>
          <w:sz w:val="28"/>
          <w:szCs w:val="28"/>
        </w:rPr>
        <w:t xml:space="preserve">Інший підхід визначає </w:t>
      </w:r>
      <w:r w:rsidRPr="00156C78">
        <w:rPr>
          <w:rFonts w:eastAsia="TimesNewRomanPSMT"/>
          <w:sz w:val="28"/>
          <w:szCs w:val="28"/>
        </w:rPr>
        <w:t>критерії як певні індикатори, на підставі яких оцінюється динаміка та результативність експериментального дослідження. Загальні вимоги до значення й обґрунтування критеріїв можна звести до того, що вони мають відображати основні закономірності формування особистості; за допомогою критеріїв має встановлюватися зв’язок між усіма компонентами досл</w:t>
      </w:r>
      <w:r w:rsidRPr="00156C78">
        <w:rPr>
          <w:rFonts w:eastAsia="TimesNewRomanPSMT"/>
          <w:sz w:val="28"/>
          <w:szCs w:val="28"/>
        </w:rPr>
        <w:t>і</w:t>
      </w:r>
      <w:r w:rsidRPr="00156C78">
        <w:rPr>
          <w:rFonts w:eastAsia="TimesNewRomanPSMT"/>
          <w:sz w:val="28"/>
          <w:szCs w:val="28"/>
        </w:rPr>
        <w:t>джуваної системи, при цьому якісні показники мають виступати в єдності з кількісними.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Аналіз запропонованих науковцями підходів щодо визначення понять критерій та показник д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зволили сформулювати такий висновок: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i/>
          <w:sz w:val="28"/>
          <w:szCs w:val="28"/>
        </w:rPr>
        <w:t xml:space="preserve">Критерій – </w:t>
      </w:r>
      <w:r w:rsidRPr="00156C78">
        <w:rPr>
          <w:sz w:val="28"/>
          <w:szCs w:val="28"/>
        </w:rPr>
        <w:t>це характеристика об’єкта дослідження, що повинна мати суттєві ознаки предм</w:t>
      </w:r>
      <w:r w:rsidRPr="00156C78">
        <w:rPr>
          <w:sz w:val="28"/>
          <w:szCs w:val="28"/>
        </w:rPr>
        <w:t>е</w:t>
      </w:r>
      <w:r w:rsidRPr="00156C78">
        <w:rPr>
          <w:sz w:val="28"/>
          <w:szCs w:val="28"/>
        </w:rPr>
        <w:t>та, відображати необхідні ознаки та якості, мають бути стійкими і постійними [3];</w:t>
      </w:r>
    </w:p>
    <w:p w:rsidR="00156C78" w:rsidRPr="00156C78" w:rsidRDefault="00156C78" w:rsidP="00156C78">
      <w:pPr>
        <w:pStyle w:val="1"/>
        <w:spacing w:line="360" w:lineRule="auto"/>
        <w:rPr>
          <w:rFonts w:eastAsia="TimesNewRomanPSMT"/>
          <w:sz w:val="28"/>
          <w:szCs w:val="28"/>
        </w:rPr>
      </w:pPr>
      <w:r w:rsidRPr="00156C78">
        <w:rPr>
          <w:sz w:val="28"/>
          <w:szCs w:val="28"/>
        </w:rPr>
        <w:t>У нашому дослідженні ми дотримуємося наукової позиції О. В. Діденко, де поняття критерій за своїм обсягом ширше, ніж поняття показник, і що показник є складовою частиною критерію [2].</w:t>
      </w:r>
    </w:p>
    <w:p w:rsidR="00156C78" w:rsidRPr="00156C78" w:rsidRDefault="00156C78" w:rsidP="00156C78">
      <w:pPr>
        <w:pStyle w:val="1"/>
        <w:spacing w:line="360" w:lineRule="auto"/>
        <w:rPr>
          <w:rFonts w:eastAsia="TimesNewRomanPSMT"/>
          <w:sz w:val="28"/>
          <w:szCs w:val="28"/>
        </w:rPr>
      </w:pPr>
      <w:r w:rsidRPr="00156C78">
        <w:rPr>
          <w:i/>
          <w:sz w:val="28"/>
          <w:szCs w:val="28"/>
        </w:rPr>
        <w:t xml:space="preserve">Показники – це </w:t>
      </w:r>
      <w:r w:rsidRPr="00156C78">
        <w:rPr>
          <w:sz w:val="28"/>
          <w:szCs w:val="28"/>
        </w:rPr>
        <w:t>засоби якісної та кількісної оцінки критеріїв. [1].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rFonts w:eastAsia="Calibri"/>
          <w:sz w:val="28"/>
          <w:szCs w:val="28"/>
        </w:rPr>
        <w:t xml:space="preserve">Нами було визначено критерії сформованості готовності майбутніх соціальних працівників до використання ІТ, такі як: мотиваційний, комунікативний, когнітивний та </w:t>
      </w:r>
      <w:proofErr w:type="spellStart"/>
      <w:r w:rsidRPr="00156C78">
        <w:rPr>
          <w:rFonts w:eastAsia="Calibri"/>
          <w:sz w:val="28"/>
          <w:szCs w:val="28"/>
        </w:rPr>
        <w:t>діяльнісний</w:t>
      </w:r>
      <w:proofErr w:type="spellEnd"/>
      <w:r w:rsidRPr="00156C78">
        <w:rPr>
          <w:rFonts w:eastAsia="Calibri"/>
          <w:sz w:val="28"/>
          <w:szCs w:val="28"/>
        </w:rPr>
        <w:t>. Кожному кр</w:t>
      </w:r>
      <w:r w:rsidRPr="00156C78">
        <w:rPr>
          <w:rFonts w:eastAsia="Calibri"/>
          <w:sz w:val="28"/>
          <w:szCs w:val="28"/>
        </w:rPr>
        <w:t>и</w:t>
      </w:r>
      <w:r w:rsidRPr="00156C78">
        <w:rPr>
          <w:rFonts w:eastAsia="Calibri"/>
          <w:sz w:val="28"/>
          <w:szCs w:val="28"/>
        </w:rPr>
        <w:t>терію відповідають наступні показники та їхні ознаки:</w:t>
      </w:r>
    </w:p>
    <w:p w:rsidR="00156C78" w:rsidRPr="00156C78" w:rsidRDefault="00156C78" w:rsidP="00156C78">
      <w:pPr>
        <w:numPr>
          <w:ilvl w:val="0"/>
          <w:numId w:val="1"/>
        </w:numPr>
        <w:tabs>
          <w:tab w:val="left" w:pos="92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мотиваційний критерій </w:t>
      </w:r>
      <w:r w:rsidRPr="00156C78">
        <w:rPr>
          <w:rFonts w:ascii="Times New Roman" w:hAnsi="Times New Roman" w:cs="Times New Roman"/>
          <w:i/>
          <w:sz w:val="28"/>
          <w:szCs w:val="28"/>
          <w:lang w:val="uk-UA"/>
        </w:rPr>
        <w:t>(мотиваційно-ціннісний компонент)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передбачає формування спрямованості майбутнього фахівця відповідно до професійної діяльності; прояв зацікавленості до обр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ної професії; позитивне ставлення до навчальної та майбутньої професійної діяльності; прагнення до 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розвитку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професійнихздібностей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усвідомлення себе як майбутнього професіонала;</w:t>
      </w:r>
    </w:p>
    <w:p w:rsidR="00156C78" w:rsidRPr="00156C78" w:rsidRDefault="00156C78" w:rsidP="00156C78">
      <w:pPr>
        <w:numPr>
          <w:ilvl w:val="0"/>
          <w:numId w:val="1"/>
        </w:numPr>
        <w:tabs>
          <w:tab w:val="left" w:pos="92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t>комунікативний критерій (</w:t>
      </w:r>
      <w:r w:rsidRPr="00156C78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комунікативний компонент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) – робота в команді, міжособ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стісні вміння; уміння чітко, зрозуміло і</w:t>
      </w:r>
      <w:r w:rsidRPr="00156C78">
        <w:rPr>
          <w:rFonts w:ascii="Times New Roman" w:hAnsi="Times New Roman" w:cs="Times New Roman"/>
          <w:sz w:val="28"/>
          <w:szCs w:val="28"/>
        </w:rPr>
        <w:t> 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переконливо висловлювати свої думки та почуття за допомогою в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рбальних і</w:t>
      </w:r>
      <w:r w:rsidRPr="00156C78">
        <w:rPr>
          <w:rFonts w:ascii="Times New Roman" w:hAnsi="Times New Roman" w:cs="Times New Roman"/>
          <w:sz w:val="28"/>
          <w:szCs w:val="28"/>
        </w:rPr>
        <w:t> 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невербальних засобів спілкування, здатність спілкуватися з клієнтами, колегами, предст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вниками взаємодіючих організацій; тактовність та толерантність у</w:t>
      </w:r>
      <w:r w:rsidRPr="00156C78">
        <w:rPr>
          <w:rFonts w:ascii="Times New Roman" w:hAnsi="Times New Roman" w:cs="Times New Roman"/>
          <w:sz w:val="28"/>
          <w:szCs w:val="28"/>
        </w:rPr>
        <w:t> 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спілкуванні;</w:t>
      </w:r>
    </w:p>
    <w:p w:rsidR="00156C78" w:rsidRPr="00156C78" w:rsidRDefault="00156C78" w:rsidP="00156C78">
      <w:pPr>
        <w:numPr>
          <w:ilvl w:val="0"/>
          <w:numId w:val="1"/>
        </w:numPr>
        <w:tabs>
          <w:tab w:val="left" w:pos="92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t>когнітивний критерій – передбачає оволодіння системою професійних та функціональних знань</w:t>
      </w:r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; здатність до навчання; дослідницькі вміння, базові загальні та ґрунтовні базові професійні знання, здатність породжувати нові ідеї;</w:t>
      </w:r>
    </w:p>
    <w:p w:rsidR="00156C78" w:rsidRPr="00156C78" w:rsidRDefault="00156C78" w:rsidP="00156C78">
      <w:pPr>
        <w:numPr>
          <w:ilvl w:val="0"/>
          <w:numId w:val="1"/>
        </w:numPr>
        <w:tabs>
          <w:tab w:val="left" w:pos="924"/>
        </w:tabs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діяльнісний</w:t>
      </w:r>
      <w:proofErr w:type="spellEnd"/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критерій – уміння застосовувати інтерактивні технології, здатність до застос</w:t>
      </w:r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 знань на практиці, здатність до організації, планування та розв’язання проблем, прийняття р</w:t>
      </w:r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156C7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шень, розроблення та управління проектами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C78" w:rsidRPr="00156C78" w:rsidRDefault="00156C78" w:rsidP="00156C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C78">
        <w:rPr>
          <w:rStyle w:val="10"/>
          <w:rFonts w:eastAsiaTheme="minorEastAsia"/>
          <w:sz w:val="28"/>
          <w:szCs w:val="28"/>
        </w:rPr>
        <w:t>Підкреслюючи внутрішню цілісність готовності майбутнього фахівця з соціальної роботи до використання ІТ у професійній діяльності як стійкості зв’язків між її компонентами, інваріанта цих зв’язків і стабільності набору функцій, ми повинні доповнити морфологічний, структурний і функц</w:t>
      </w:r>
      <w:r w:rsidRPr="00156C78">
        <w:rPr>
          <w:rStyle w:val="10"/>
          <w:rFonts w:eastAsiaTheme="minorEastAsia"/>
          <w:sz w:val="28"/>
          <w:szCs w:val="28"/>
        </w:rPr>
        <w:t>і</w:t>
      </w:r>
      <w:r w:rsidRPr="00156C78">
        <w:rPr>
          <w:rStyle w:val="10"/>
          <w:rFonts w:eastAsiaTheme="minorEastAsia"/>
          <w:sz w:val="28"/>
          <w:szCs w:val="28"/>
        </w:rPr>
        <w:t>ональний аналіз генетичним, як об’єктивно необхідним, якщо ставиться завдання повноти подання розглянутої готовності як системного утворення. Генетичний аналіз пов’язаний з виділенням і роз</w:t>
      </w:r>
      <w:r w:rsidRPr="00156C78">
        <w:rPr>
          <w:rStyle w:val="10"/>
          <w:rFonts w:eastAsiaTheme="minorEastAsia"/>
          <w:sz w:val="28"/>
          <w:szCs w:val="28"/>
        </w:rPr>
        <w:t>к</w:t>
      </w:r>
      <w:r w:rsidRPr="00156C78">
        <w:rPr>
          <w:rStyle w:val="10"/>
          <w:rFonts w:eastAsiaTheme="minorEastAsia"/>
          <w:sz w:val="28"/>
          <w:szCs w:val="28"/>
        </w:rPr>
        <w:t>риттям рівнів готовнос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ті майбутнього соціального працівника до використання ІТ у професійній ді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льності.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 xml:space="preserve">У науковій літературі </w:t>
      </w:r>
      <w:r w:rsidRPr="00156C78">
        <w:rPr>
          <w:i/>
          <w:sz w:val="28"/>
          <w:szCs w:val="28"/>
        </w:rPr>
        <w:t>рівень</w:t>
      </w:r>
      <w:r w:rsidRPr="00156C78">
        <w:rPr>
          <w:sz w:val="28"/>
          <w:szCs w:val="28"/>
        </w:rPr>
        <w:t xml:space="preserve"> визначається як дискретний, відносно стійкий, якісно своєрідний стан матеріальних систем, як відношення «вищих» і «нижчих» ступенів розвитку структур будь-яких об’єктів або процесів [4]. </w:t>
      </w:r>
      <w:proofErr w:type="spellStart"/>
      <w:r w:rsidRPr="00156C78">
        <w:rPr>
          <w:sz w:val="28"/>
          <w:szCs w:val="28"/>
        </w:rPr>
        <w:t>Рівневий</w:t>
      </w:r>
      <w:proofErr w:type="spellEnd"/>
      <w:r w:rsidRPr="00156C78">
        <w:rPr>
          <w:sz w:val="28"/>
          <w:szCs w:val="28"/>
        </w:rPr>
        <w:t xml:space="preserve"> підхід дозволяє розглядати будь-який процес розвитку </w:t>
      </w:r>
      <w:r w:rsidRPr="00156C78">
        <w:rPr>
          <w:sz w:val="28"/>
          <w:szCs w:val="28"/>
        </w:rPr>
        <w:lastRenderedPageBreak/>
        <w:t>особистості як перехід від одного рівня до іншого, більш складного і якісно відмінного.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Звернемося до визначення рівнів готовності до професійної діяльності. У сучасних дослідже</w:t>
      </w:r>
      <w:r w:rsidRPr="00156C78">
        <w:rPr>
          <w:sz w:val="28"/>
          <w:szCs w:val="28"/>
        </w:rPr>
        <w:t>н</w:t>
      </w:r>
      <w:r w:rsidRPr="00156C78">
        <w:rPr>
          <w:sz w:val="28"/>
          <w:szCs w:val="28"/>
        </w:rPr>
        <w:t xml:space="preserve">нях готовності фахівців до різних аспектів професійної діяльності найчастіше виокремлюється від трьох до п’яти відповідних рівнів сформованості. </w:t>
      </w:r>
    </w:p>
    <w:p w:rsidR="00156C78" w:rsidRPr="00156C78" w:rsidRDefault="00156C78" w:rsidP="00156C78">
      <w:pPr>
        <w:pStyle w:val="ab"/>
        <w:spacing w:after="60" w:line="360" w:lineRule="auto"/>
        <w:rPr>
          <w:sz w:val="28"/>
          <w:szCs w:val="28"/>
          <w:lang w:eastAsia="en-US"/>
        </w:rPr>
      </w:pPr>
      <w:r w:rsidRPr="00156C78">
        <w:rPr>
          <w:sz w:val="28"/>
          <w:szCs w:val="28"/>
          <w:lang w:eastAsia="en-US"/>
        </w:rPr>
        <w:t>Таблиця 1</w:t>
      </w:r>
    </w:p>
    <w:p w:rsidR="00156C78" w:rsidRPr="00156C78" w:rsidRDefault="00156C78" w:rsidP="00156C78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56C7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Визначення рівнів готовності за різними авторами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1356"/>
        <w:gridCol w:w="3713"/>
        <w:gridCol w:w="3848"/>
      </w:tblGrid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</w:t>
            </w: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з/п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Зіст</w:t>
            </w:r>
            <w:proofErr w:type="spellEnd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готовності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Назва</w:t>
            </w:r>
            <w:proofErr w:type="spellEnd"/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рівнів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Капська</w:t>
            </w:r>
            <w:proofErr w:type="spellEnd"/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Готовність до виконавсько-мовленнєвої д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яльності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Низький, середній, високий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О. Карпе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Професійної готовності студентів до с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ціальної роботи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Недостатній, первинний, </w:t>
            </w:r>
            <w:proofErr w:type="spellStart"/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професійно-ква-</w:t>
            </w: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ліфікаційний</w:t>
            </w:r>
            <w:proofErr w:type="spellEnd"/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, професі</w:t>
            </w: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й</w:t>
            </w: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но-спеціалізований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Г. Савче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Готовності до аналітичної діяльності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низький, середній, достатній, в</w:t>
            </w: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сокий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Саве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кова</w:t>
            </w:r>
            <w:proofErr w:type="spellEnd"/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Готовності майбутніх викладачів до професійного спілкування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Стихійно-репродуктивний, репродуктивний, реконструктивний, варіативний, тв</w:t>
            </w: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</w:t>
            </w:r>
            <w:r w:rsidRPr="00156C7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рчий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Н. Кузьм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Продуктивності педагогічної діяльн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 xml:space="preserve">Репродуктивний, адаптивний, </w:t>
            </w:r>
            <w:proofErr w:type="spellStart"/>
            <w:r w:rsidRPr="00156C7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>локально-моде-люючий</w:t>
            </w:r>
            <w:proofErr w:type="spellEnd"/>
            <w:r w:rsidRPr="00156C7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>, системно-моделюючий, сист</w:t>
            </w:r>
            <w:r w:rsidRPr="00156C7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>е</w:t>
            </w:r>
            <w:r w:rsidRPr="00156C7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uk-UA"/>
              </w:rPr>
              <w:t>мно-моделюючий.</w:t>
            </w:r>
          </w:p>
        </w:tc>
      </w:tr>
      <w:tr w:rsidR="00156C78" w:rsidRPr="00156C78" w:rsidTr="005F66CD">
        <w:tc>
          <w:tcPr>
            <w:tcW w:w="518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156C7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720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Абдул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</w:t>
            </w:r>
            <w:proofErr w:type="spellEnd"/>
          </w:p>
        </w:tc>
        <w:tc>
          <w:tcPr>
            <w:tcW w:w="3752" w:type="dxa"/>
            <w:shd w:val="clear" w:color="auto" w:fill="auto"/>
            <w:vAlign w:val="center"/>
          </w:tcPr>
          <w:p w:rsidR="00156C78" w:rsidRPr="00156C78" w:rsidRDefault="00156C78" w:rsidP="00156C78">
            <w:pPr>
              <w:keepNext/>
              <w:tabs>
                <w:tab w:val="num" w:pos="176"/>
              </w:tabs>
              <w:spacing w:line="36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загальнопедагогічних</w:t>
            </w:r>
            <w:proofErr w:type="spellEnd"/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знань і умінь</w:t>
            </w:r>
            <w:r w:rsidRPr="00156C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</w:t>
            </w:r>
            <w:r w:rsidRPr="00156C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дентів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156C78" w:rsidRPr="00156C78" w:rsidRDefault="00156C78" w:rsidP="00156C7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репродуктивний, репродуктивно-творчий, творчо-репродуктивний, тво</w:t>
            </w: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156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чий</w:t>
            </w:r>
          </w:p>
        </w:tc>
      </w:tr>
    </w:tbl>
    <w:p w:rsidR="00156C78" w:rsidRPr="00156C78" w:rsidRDefault="00156C78" w:rsidP="00156C78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lastRenderedPageBreak/>
        <w:t xml:space="preserve">З огляду на викладене та спираючись на підхід О. </w:t>
      </w:r>
      <w:proofErr w:type="spellStart"/>
      <w:r w:rsidRPr="00156C78">
        <w:rPr>
          <w:sz w:val="28"/>
          <w:szCs w:val="28"/>
        </w:rPr>
        <w:t>Абдуліної</w:t>
      </w:r>
      <w:proofErr w:type="spellEnd"/>
      <w:r w:rsidRPr="00156C78">
        <w:rPr>
          <w:sz w:val="28"/>
          <w:szCs w:val="28"/>
        </w:rPr>
        <w:t>, ми визначаємо три рівні готовно</w:t>
      </w:r>
      <w:r w:rsidRPr="00156C78">
        <w:rPr>
          <w:sz w:val="28"/>
          <w:szCs w:val="28"/>
        </w:rPr>
        <w:t>с</w:t>
      </w:r>
      <w:r w:rsidRPr="00156C78">
        <w:rPr>
          <w:sz w:val="28"/>
          <w:szCs w:val="28"/>
        </w:rPr>
        <w:t>ті майбутніх соціальних працівників до використання інтерактивних технологій у професійній діял</w:t>
      </w:r>
      <w:r w:rsidRPr="00156C78">
        <w:rPr>
          <w:sz w:val="28"/>
          <w:szCs w:val="28"/>
        </w:rPr>
        <w:t>ь</w:t>
      </w:r>
      <w:r w:rsidRPr="00156C78">
        <w:rPr>
          <w:sz w:val="28"/>
          <w:szCs w:val="28"/>
        </w:rPr>
        <w:t>ності: репродуктивний (низький), продуктивний (середній), креативний (високий).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rFonts w:eastAsia="Calibri"/>
          <w:sz w:val="28"/>
          <w:szCs w:val="28"/>
        </w:rPr>
        <w:t>Зазначимо, що вирізнення великої кількості рівнів готовності ускладнює дослідження, оскіл</w:t>
      </w:r>
      <w:r w:rsidRPr="00156C78">
        <w:rPr>
          <w:rFonts w:eastAsia="Calibri"/>
          <w:sz w:val="28"/>
          <w:szCs w:val="28"/>
        </w:rPr>
        <w:t>ь</w:t>
      </w:r>
      <w:r w:rsidRPr="00156C78">
        <w:rPr>
          <w:rFonts w:eastAsia="Calibri"/>
          <w:sz w:val="28"/>
          <w:szCs w:val="28"/>
        </w:rPr>
        <w:t xml:space="preserve">ки їх важко диференціювати. 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rFonts w:eastAsia="Calibri"/>
          <w:sz w:val="28"/>
          <w:szCs w:val="28"/>
        </w:rPr>
        <w:t>Схарактеризуємо визначені рівні готовності до використання інтерактивних технологій у пр</w:t>
      </w:r>
      <w:r w:rsidRPr="00156C78">
        <w:rPr>
          <w:rFonts w:eastAsia="Calibri"/>
          <w:sz w:val="28"/>
          <w:szCs w:val="28"/>
        </w:rPr>
        <w:t>о</w:t>
      </w:r>
      <w:r w:rsidRPr="00156C78">
        <w:rPr>
          <w:rFonts w:eastAsia="Calibri"/>
          <w:sz w:val="28"/>
          <w:szCs w:val="28"/>
        </w:rPr>
        <w:t>фесійній діяльності.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rFonts w:eastAsia="Calibri"/>
          <w:i/>
          <w:sz w:val="28"/>
          <w:szCs w:val="28"/>
        </w:rPr>
        <w:t xml:space="preserve">Репродуктивний (низький) рівень – </w:t>
      </w:r>
      <w:r w:rsidRPr="00156C78">
        <w:rPr>
          <w:rFonts w:eastAsia="Calibri"/>
          <w:sz w:val="28"/>
          <w:szCs w:val="28"/>
        </w:rPr>
        <w:t>у студентів сформовані деякі мотиви до використання інтерактивних технологій у професійній діяльності, серед яких переважають зовнішні. Загальний рівень професійної спрямованості є переважно середнім, у деяких випадках низьким. Задоволення від н</w:t>
      </w:r>
      <w:r w:rsidRPr="00156C78">
        <w:rPr>
          <w:rFonts w:eastAsia="Calibri"/>
          <w:sz w:val="28"/>
          <w:szCs w:val="28"/>
        </w:rPr>
        <w:t>а</w:t>
      </w:r>
      <w:r w:rsidRPr="00156C78">
        <w:rPr>
          <w:rFonts w:eastAsia="Calibri"/>
          <w:sz w:val="28"/>
          <w:szCs w:val="28"/>
        </w:rPr>
        <w:t>вчання є переважно низьким. Вид спрямованості не диференційований. Притаманні середній та низ</w:t>
      </w:r>
      <w:r w:rsidRPr="00156C78">
        <w:rPr>
          <w:rFonts w:eastAsia="Calibri"/>
          <w:sz w:val="28"/>
          <w:szCs w:val="28"/>
        </w:rPr>
        <w:t>ь</w:t>
      </w:r>
      <w:r w:rsidRPr="00156C78">
        <w:rPr>
          <w:rFonts w:eastAsia="Calibri"/>
          <w:sz w:val="28"/>
          <w:szCs w:val="28"/>
        </w:rPr>
        <w:t xml:space="preserve">кий рівні сформованості здібностей до рефлексії, </w:t>
      </w:r>
      <w:proofErr w:type="spellStart"/>
      <w:r w:rsidRPr="00156C78">
        <w:rPr>
          <w:rFonts w:eastAsia="Calibri"/>
          <w:sz w:val="28"/>
          <w:szCs w:val="28"/>
        </w:rPr>
        <w:t>емпатії</w:t>
      </w:r>
      <w:proofErr w:type="spellEnd"/>
      <w:r w:rsidRPr="00156C78">
        <w:rPr>
          <w:rFonts w:eastAsia="Calibri"/>
          <w:sz w:val="28"/>
          <w:szCs w:val="28"/>
        </w:rPr>
        <w:t>, самоуправління та креативності. У студе</w:t>
      </w:r>
      <w:r w:rsidRPr="00156C78">
        <w:rPr>
          <w:rFonts w:eastAsia="Calibri"/>
          <w:sz w:val="28"/>
          <w:szCs w:val="28"/>
        </w:rPr>
        <w:t>н</w:t>
      </w:r>
      <w:r w:rsidRPr="00156C78">
        <w:rPr>
          <w:rFonts w:eastAsia="Calibri"/>
          <w:sz w:val="28"/>
          <w:szCs w:val="28"/>
        </w:rPr>
        <w:t>тів спостерігаються середні рівні знань засобів інтерактивних технологій. Студенти, які мають цей рівень готовності, запозичують уже готовий матеріал (проект, презентація, соціальна реклама тощо) із мережі Інтернет або переймають в інших студентів.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z w:val="28"/>
          <w:szCs w:val="28"/>
        </w:rPr>
      </w:pPr>
      <w:r w:rsidRPr="00156C78">
        <w:rPr>
          <w:rFonts w:eastAsia="Calibri"/>
          <w:i/>
          <w:sz w:val="28"/>
          <w:szCs w:val="28"/>
        </w:rPr>
        <w:t xml:space="preserve">Продуктивний (середній) рівень </w:t>
      </w:r>
      <w:r w:rsidRPr="00156C78">
        <w:rPr>
          <w:rFonts w:eastAsia="Calibri"/>
          <w:sz w:val="28"/>
          <w:szCs w:val="28"/>
        </w:rPr>
        <w:t>– загальний рівень сформованості мотивів є середнім, деякі мотиви мають значний прояв, а деякі є невиразними, при цьому студентам в однаковій мірі прит</w:t>
      </w:r>
      <w:r w:rsidRPr="00156C78">
        <w:rPr>
          <w:rFonts w:eastAsia="Calibri"/>
          <w:sz w:val="28"/>
          <w:szCs w:val="28"/>
        </w:rPr>
        <w:t>а</w:t>
      </w:r>
      <w:r w:rsidRPr="00156C78">
        <w:rPr>
          <w:rFonts w:eastAsia="Calibri"/>
          <w:sz w:val="28"/>
          <w:szCs w:val="28"/>
        </w:rPr>
        <w:t>манні як внутрішні, так і зовнішні мотиви. Задоволеність різними аспектами навчальної діяльності в цілому є достатньою або середньою. Достатнім є загальний рівень професійної спрямованості. Вид професійної спрямованості можна визначити, але його прояв є незначним. Характерні достатні та с</w:t>
      </w:r>
      <w:r w:rsidRPr="00156C78">
        <w:rPr>
          <w:rFonts w:eastAsia="Calibri"/>
          <w:sz w:val="28"/>
          <w:szCs w:val="28"/>
        </w:rPr>
        <w:t>е</w:t>
      </w:r>
      <w:r w:rsidRPr="00156C78">
        <w:rPr>
          <w:rFonts w:eastAsia="Calibri"/>
          <w:sz w:val="28"/>
          <w:szCs w:val="28"/>
        </w:rPr>
        <w:t xml:space="preserve">редні рівні сформованості здібностей до рефлексії, </w:t>
      </w:r>
      <w:proofErr w:type="spellStart"/>
      <w:r w:rsidRPr="00156C78">
        <w:rPr>
          <w:rFonts w:eastAsia="Calibri"/>
          <w:sz w:val="28"/>
          <w:szCs w:val="28"/>
        </w:rPr>
        <w:t>емпатії</w:t>
      </w:r>
      <w:proofErr w:type="spellEnd"/>
      <w:r w:rsidRPr="00156C78">
        <w:rPr>
          <w:rFonts w:eastAsia="Calibri"/>
          <w:sz w:val="28"/>
          <w:szCs w:val="28"/>
        </w:rPr>
        <w:t>, самоуправління та креативності. Студе</w:t>
      </w:r>
      <w:r w:rsidRPr="00156C78">
        <w:rPr>
          <w:rFonts w:eastAsia="Calibri"/>
          <w:sz w:val="28"/>
          <w:szCs w:val="28"/>
        </w:rPr>
        <w:t>н</w:t>
      </w:r>
      <w:r w:rsidRPr="00156C78">
        <w:rPr>
          <w:rFonts w:eastAsia="Calibri"/>
          <w:sz w:val="28"/>
          <w:szCs w:val="28"/>
        </w:rPr>
        <w:t>ти мають переважно достатній, а за деякими аспектами, середній рівні знань та умінь у використанні інтерактивних технологій, що дозволяє їм застосовувати ІТ у навчальній діяльності.</w:t>
      </w:r>
    </w:p>
    <w:p w:rsidR="00156C78" w:rsidRPr="00156C78" w:rsidRDefault="00156C78" w:rsidP="00156C78">
      <w:pPr>
        <w:pStyle w:val="1"/>
        <w:spacing w:line="360" w:lineRule="auto"/>
        <w:rPr>
          <w:rFonts w:eastAsia="Calibri"/>
          <w:spacing w:val="-4"/>
          <w:sz w:val="28"/>
          <w:szCs w:val="28"/>
        </w:rPr>
      </w:pPr>
      <w:r w:rsidRPr="00156C78">
        <w:rPr>
          <w:rFonts w:eastAsia="Calibri"/>
          <w:i/>
          <w:spacing w:val="-4"/>
          <w:sz w:val="28"/>
          <w:szCs w:val="28"/>
        </w:rPr>
        <w:lastRenderedPageBreak/>
        <w:t xml:space="preserve">Креативний (високий) рівень </w:t>
      </w:r>
      <w:r w:rsidRPr="00156C78">
        <w:rPr>
          <w:rFonts w:eastAsia="Calibri"/>
          <w:spacing w:val="-4"/>
          <w:sz w:val="28"/>
          <w:szCs w:val="28"/>
        </w:rPr>
        <w:t>– у студентів на високому рівні сформовані різні мотиви до вміння з</w:t>
      </w:r>
      <w:r w:rsidRPr="00156C78">
        <w:rPr>
          <w:rFonts w:eastAsia="Calibri"/>
          <w:spacing w:val="-4"/>
          <w:sz w:val="28"/>
          <w:szCs w:val="28"/>
        </w:rPr>
        <w:t>а</w:t>
      </w:r>
      <w:r w:rsidRPr="00156C78">
        <w:rPr>
          <w:rFonts w:eastAsia="Calibri"/>
          <w:spacing w:val="-4"/>
          <w:sz w:val="28"/>
          <w:szCs w:val="28"/>
        </w:rPr>
        <w:t>стосовувати інтерактивні технології, при цьому внутрішні мотиви домінують над зовнішніми. Високим є загальний рівень професійної спрямованості. Максимально виражений вид професійної спрямованості. Високою є задоволеність навчальною діяльністю в цілому та окремими її аспектами. Студентам прит</w:t>
      </w:r>
      <w:r w:rsidRPr="00156C78">
        <w:rPr>
          <w:rFonts w:eastAsia="Calibri"/>
          <w:spacing w:val="-4"/>
          <w:sz w:val="28"/>
          <w:szCs w:val="28"/>
        </w:rPr>
        <w:t>а</w:t>
      </w:r>
      <w:r w:rsidRPr="00156C78">
        <w:rPr>
          <w:rFonts w:eastAsia="Calibri"/>
          <w:spacing w:val="-4"/>
          <w:sz w:val="28"/>
          <w:szCs w:val="28"/>
        </w:rPr>
        <w:t xml:space="preserve">манні високі рівні сформованості здібностей до рефлексії, </w:t>
      </w:r>
      <w:proofErr w:type="spellStart"/>
      <w:r w:rsidRPr="00156C78">
        <w:rPr>
          <w:rFonts w:eastAsia="Calibri"/>
          <w:spacing w:val="-4"/>
          <w:sz w:val="28"/>
          <w:szCs w:val="28"/>
        </w:rPr>
        <w:t>емпатії</w:t>
      </w:r>
      <w:proofErr w:type="spellEnd"/>
      <w:r w:rsidRPr="00156C78">
        <w:rPr>
          <w:rFonts w:eastAsia="Calibri"/>
          <w:spacing w:val="-4"/>
          <w:sz w:val="28"/>
          <w:szCs w:val="28"/>
        </w:rPr>
        <w:t>, самоуправління та креативності. На найвищому рівні сформованості знаходяться знання в застосуванні інтерактивних технологій, що забе</w:t>
      </w:r>
      <w:r w:rsidRPr="00156C78">
        <w:rPr>
          <w:rFonts w:eastAsia="Calibri"/>
          <w:spacing w:val="-4"/>
          <w:sz w:val="28"/>
          <w:szCs w:val="28"/>
        </w:rPr>
        <w:t>з</w:t>
      </w:r>
      <w:r w:rsidRPr="00156C78">
        <w:rPr>
          <w:rFonts w:eastAsia="Calibri"/>
          <w:spacing w:val="-4"/>
          <w:sz w:val="28"/>
          <w:szCs w:val="28"/>
        </w:rPr>
        <w:t>печує вільне створення ефективних проектів, презентацій, соціальної реклами тощо.</w:t>
      </w:r>
    </w:p>
    <w:p w:rsidR="00156C78" w:rsidRPr="00156C78" w:rsidRDefault="00156C78" w:rsidP="00156C78">
      <w:pPr>
        <w:pStyle w:val="a5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Висновки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Виходячи з проведеного дослідження, можемо стверджувати, що визначення сформованості г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товності майбутніх соціальних працівників до використання інтерактивних технологій у професійній діяльності, що складається з певних компонентів, а також з опорою на методологічний підхід до ви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кремлення цієї системи компонентів, були розроблені показники сформованості кожного компонента названої готовності, опора на які дозволяє підвищити рівень цієї готовності, що, в свою чергу, доп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магає об’єктивно оцінити успішність розв’язання комплексних завдань та визначити рівень сформ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 xml:space="preserve">ваності готовності майбутніх соціальних працівників до використання інтерактивних технологій у професійній діяльності. </w:t>
      </w:r>
    </w:p>
    <w:p w:rsidR="00156C78" w:rsidRPr="00156C78" w:rsidRDefault="00156C78" w:rsidP="00156C78">
      <w:pPr>
        <w:pStyle w:val="1"/>
        <w:spacing w:line="360" w:lineRule="auto"/>
        <w:rPr>
          <w:sz w:val="28"/>
          <w:szCs w:val="28"/>
        </w:rPr>
      </w:pPr>
      <w:r w:rsidRPr="00156C78">
        <w:rPr>
          <w:spacing w:val="-4"/>
          <w:sz w:val="28"/>
          <w:szCs w:val="28"/>
        </w:rPr>
        <w:t xml:space="preserve">Таким чином, визначено основні критерії (мотиваційний, комунікативний, когнітивний, </w:t>
      </w:r>
      <w:proofErr w:type="spellStart"/>
      <w:r w:rsidRPr="00156C78">
        <w:rPr>
          <w:spacing w:val="-4"/>
          <w:sz w:val="28"/>
          <w:szCs w:val="28"/>
        </w:rPr>
        <w:t>діяльні</w:t>
      </w:r>
      <w:r w:rsidRPr="00156C78">
        <w:rPr>
          <w:spacing w:val="-4"/>
          <w:sz w:val="28"/>
          <w:szCs w:val="28"/>
        </w:rPr>
        <w:t>с</w:t>
      </w:r>
      <w:r w:rsidRPr="00156C78">
        <w:rPr>
          <w:spacing w:val="-4"/>
          <w:sz w:val="28"/>
          <w:szCs w:val="28"/>
        </w:rPr>
        <w:t>ний</w:t>
      </w:r>
      <w:proofErr w:type="spellEnd"/>
      <w:r w:rsidRPr="00156C78">
        <w:rPr>
          <w:spacing w:val="-4"/>
          <w:sz w:val="28"/>
          <w:szCs w:val="28"/>
        </w:rPr>
        <w:t>), їх показники та рівні (креативний, продуктивний, репродуктивний) сформованості майбутніх соці</w:t>
      </w:r>
      <w:r w:rsidRPr="00156C78">
        <w:rPr>
          <w:spacing w:val="-4"/>
          <w:sz w:val="28"/>
          <w:szCs w:val="28"/>
        </w:rPr>
        <w:t>а</w:t>
      </w:r>
      <w:r w:rsidRPr="00156C78">
        <w:rPr>
          <w:spacing w:val="-4"/>
          <w:sz w:val="28"/>
          <w:szCs w:val="28"/>
        </w:rPr>
        <w:t>льних працівників до використання інтерактивних технологій у професійній діяльності</w:t>
      </w:r>
      <w:r w:rsidRPr="00156C78">
        <w:rPr>
          <w:sz w:val="28"/>
          <w:szCs w:val="28"/>
        </w:rPr>
        <w:t>.</w:t>
      </w:r>
    </w:p>
    <w:p w:rsidR="00156C78" w:rsidRPr="00156C78" w:rsidRDefault="00156C78" w:rsidP="00156C78">
      <w:pPr>
        <w:pStyle w:val="a9"/>
        <w:spacing w:line="360" w:lineRule="auto"/>
        <w:rPr>
          <w:sz w:val="28"/>
          <w:szCs w:val="28"/>
        </w:rPr>
      </w:pPr>
      <w:r w:rsidRPr="00156C78">
        <w:rPr>
          <w:sz w:val="28"/>
          <w:szCs w:val="28"/>
        </w:rPr>
        <w:t>Список літератури</w:t>
      </w:r>
    </w:p>
    <w:p w:rsidR="00156C78" w:rsidRPr="00156C78" w:rsidRDefault="00156C78" w:rsidP="00156C7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56C78">
        <w:rPr>
          <w:rFonts w:ascii="Times New Roman" w:hAnsi="Times New Roman" w:cs="Times New Roman"/>
          <w:spacing w:val="-6"/>
          <w:sz w:val="28"/>
          <w:szCs w:val="28"/>
          <w:lang w:val="uk-UA"/>
        </w:rPr>
        <w:t>1.</w:t>
      </w:r>
      <w:r w:rsidRPr="00156C7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eastAsia="Calibri" w:hAnsi="Times New Roman" w:cs="Times New Roman"/>
          <w:i/>
          <w:spacing w:val="-6"/>
          <w:sz w:val="28"/>
          <w:szCs w:val="28"/>
          <w:lang w:eastAsia="uk-UA"/>
        </w:rPr>
        <w:t>Батаршев</w:t>
      </w:r>
      <w:proofErr w:type="spellEnd"/>
      <w:r w:rsidRPr="00156C78">
        <w:rPr>
          <w:rFonts w:ascii="Times New Roman" w:eastAsia="Calibri" w:hAnsi="Times New Roman" w:cs="Times New Roman"/>
          <w:i/>
          <w:spacing w:val="-6"/>
          <w:sz w:val="28"/>
          <w:szCs w:val="28"/>
          <w:lang w:eastAsia="uk-UA"/>
        </w:rPr>
        <w:t xml:space="preserve"> А. В.</w:t>
      </w:r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 xml:space="preserve"> Диагностика профессионально важных качеств / А. В. </w:t>
      </w:r>
      <w:proofErr w:type="spellStart"/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>Батаршев</w:t>
      </w:r>
      <w:proofErr w:type="spellEnd"/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val="uk-UA" w:eastAsia="uk-UA"/>
        </w:rPr>
        <w:t>, И. Ю.</w:t>
      </w:r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 xml:space="preserve"> Алексе</w:t>
      </w:r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>е</w:t>
      </w:r>
      <w:r w:rsidRPr="00156C78">
        <w:rPr>
          <w:rFonts w:ascii="Times New Roman" w:eastAsia="Calibri" w:hAnsi="Times New Roman" w:cs="Times New Roman"/>
          <w:spacing w:val="-6"/>
          <w:sz w:val="28"/>
          <w:szCs w:val="28"/>
          <w:lang w:eastAsia="uk-UA"/>
        </w:rPr>
        <w:t>ва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Pr="00156C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Е. В.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eastAsia="uk-UA"/>
        </w:rPr>
        <w:t>Майорова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  <w:r w:rsidRPr="00156C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− СПб. : Питер, 2007. − 192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gramStart"/>
      <w:r w:rsidRPr="00156C78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proofErr w:type="gramEnd"/>
      <w:r w:rsidRPr="00156C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</w:p>
    <w:p w:rsidR="00156C78" w:rsidRPr="00156C78" w:rsidRDefault="00156C78" w:rsidP="00156C7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156C78">
        <w:rPr>
          <w:rFonts w:ascii="Times New Roman" w:hAnsi="Times New Roman" w:cs="Times New Roman"/>
          <w:i/>
          <w:sz w:val="28"/>
          <w:szCs w:val="28"/>
          <w:lang w:val="uk-UA"/>
        </w:rPr>
        <w:t>Діденко О. В.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 Критерії, показники та рівні сформованості творчості як професійної якості у майбутніх офіцерів-прикордонників / О. В. Діденко // Вища освіта України. – 2007. – С. 218–223. – (</w:t>
      </w:r>
      <w:proofErr w:type="spellStart"/>
      <w:r w:rsidRPr="00156C78">
        <w:rPr>
          <w:rFonts w:ascii="Times New Roman" w:hAnsi="Times New Roman" w:cs="Times New Roman"/>
          <w:sz w:val="28"/>
          <w:szCs w:val="28"/>
          <w:lang w:val="uk-UA"/>
        </w:rPr>
        <w:t>Темат</w:t>
      </w:r>
      <w:proofErr w:type="spellEnd"/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. вип. «Вища освіта України у контексті інтеграції до європейського освітнього простору : 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br/>
        <w:t>м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ніторинг якості освіти» ; </w:t>
      </w:r>
      <w:proofErr w:type="spellStart"/>
      <w:r w:rsidRPr="00156C78">
        <w:rPr>
          <w:rFonts w:ascii="Times New Roman" w:hAnsi="Times New Roman" w:cs="Times New Roman"/>
          <w:sz w:val="28"/>
          <w:szCs w:val="28"/>
          <w:lang w:val="uk-UA"/>
        </w:rPr>
        <w:t>дод</w:t>
      </w:r>
      <w:proofErr w:type="spellEnd"/>
      <w:r w:rsidRPr="00156C78">
        <w:rPr>
          <w:rFonts w:ascii="Times New Roman" w:hAnsi="Times New Roman" w:cs="Times New Roman"/>
          <w:sz w:val="28"/>
          <w:szCs w:val="28"/>
          <w:lang w:val="uk-UA"/>
        </w:rPr>
        <w:t>. 3, т. 7).</w:t>
      </w:r>
    </w:p>
    <w:p w:rsidR="00156C78" w:rsidRPr="00156C78" w:rsidRDefault="00156C78" w:rsidP="00156C7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56C7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56C78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Пометун</w:t>
      </w:r>
      <w:proofErr w:type="spellEnd"/>
      <w:r w:rsidRPr="00156C78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 xml:space="preserve"> О. І. 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Теорія та практика послідовної реалізації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компетентісного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підходу в досвіді зарубіжних країн //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Компетентнісний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підхід у сучасній освіті: світовий досвід та українські перспе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</w:t>
      </w: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тиви: Бібліотека з освітньої політики / Під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ред. О. В. </w:t>
      </w:r>
      <w:proofErr w:type="spellStart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Овчарук</w:t>
      </w:r>
      <w:proofErr w:type="spellEnd"/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– К. : «К.І.С.», 2004. – 112 с.</w:t>
      </w:r>
    </w:p>
    <w:p w:rsidR="00156C78" w:rsidRPr="00156C78" w:rsidRDefault="00156C78" w:rsidP="00156C7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156C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 </w:t>
      </w:r>
      <w:r w:rsidRPr="00156C7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 w:eastAsia="en-US"/>
        </w:rPr>
        <w:t>Словник-довідник</w:t>
      </w:r>
      <w:r w:rsidRPr="00156C7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з професійної педагогіки / [за ред. А. В. Семенової]. </w:t>
      </w:r>
      <w:proofErr w:type="spellStart"/>
      <w:r w:rsidRPr="00156C7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–Одеса</w:t>
      </w:r>
      <w:proofErr w:type="spellEnd"/>
      <w:r w:rsidRPr="00156C7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: Пальміра, 2006. – 364 с.</w:t>
      </w:r>
    </w:p>
    <w:p w:rsidR="00156C78" w:rsidRPr="00156C78" w:rsidRDefault="00156C78" w:rsidP="00156C78">
      <w:pPr>
        <w:pStyle w:val="aa"/>
        <w:spacing w:line="360" w:lineRule="auto"/>
        <w:rPr>
          <w:sz w:val="28"/>
          <w:szCs w:val="28"/>
          <w:lang w:val="uk-UA"/>
        </w:rPr>
      </w:pPr>
      <w:r w:rsidRPr="00156C78">
        <w:rPr>
          <w:sz w:val="28"/>
          <w:szCs w:val="28"/>
          <w:lang w:val="uk-UA"/>
        </w:rPr>
        <w:t xml:space="preserve">Л.А. </w:t>
      </w:r>
      <w:proofErr w:type="spellStart"/>
      <w:r w:rsidRPr="00156C78">
        <w:rPr>
          <w:sz w:val="28"/>
          <w:szCs w:val="28"/>
          <w:lang w:val="uk-UA"/>
        </w:rPr>
        <w:t>Хоменко-Семенова</w:t>
      </w:r>
      <w:proofErr w:type="spellEnd"/>
    </w:p>
    <w:p w:rsidR="00156C78" w:rsidRPr="00156C78" w:rsidRDefault="00156C78" w:rsidP="00156C78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Критерии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показатели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и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уровни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сформиваности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готовности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будущих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социальных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работников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к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использованию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интерактивных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технологий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в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профессиональной</w:t>
      </w:r>
      <w:proofErr w:type="spellEnd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56C78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деятельности</w:t>
      </w:r>
      <w:proofErr w:type="spellEnd"/>
    </w:p>
    <w:p w:rsidR="00156C78" w:rsidRPr="00156C78" w:rsidRDefault="00156C78" w:rsidP="00156C78">
      <w:pPr>
        <w:pStyle w:val="a7"/>
        <w:spacing w:line="360" w:lineRule="auto"/>
        <w:rPr>
          <w:sz w:val="28"/>
          <w:szCs w:val="28"/>
        </w:rPr>
      </w:pPr>
      <w:proofErr w:type="spellStart"/>
      <w:r w:rsidRPr="00156C78">
        <w:rPr>
          <w:sz w:val="28"/>
          <w:szCs w:val="28"/>
        </w:rPr>
        <w:t>Статья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посвящена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актуальной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проблеме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подготовки</w:t>
      </w:r>
      <w:proofErr w:type="spellEnd"/>
      <w:r w:rsidRPr="00156C78">
        <w:rPr>
          <w:sz w:val="28"/>
          <w:szCs w:val="28"/>
        </w:rPr>
        <w:t xml:space="preserve"> будущих </w:t>
      </w:r>
      <w:proofErr w:type="spellStart"/>
      <w:r w:rsidRPr="00156C78">
        <w:rPr>
          <w:sz w:val="28"/>
          <w:szCs w:val="28"/>
        </w:rPr>
        <w:t>социальных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работников</w:t>
      </w:r>
      <w:proofErr w:type="spellEnd"/>
      <w:r w:rsidRPr="00156C78">
        <w:rPr>
          <w:sz w:val="28"/>
          <w:szCs w:val="28"/>
        </w:rPr>
        <w:t xml:space="preserve">, </w:t>
      </w:r>
      <w:proofErr w:type="spellStart"/>
      <w:r w:rsidRPr="00156C78">
        <w:rPr>
          <w:sz w:val="28"/>
          <w:szCs w:val="28"/>
        </w:rPr>
        <w:t>пр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фессиональный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уровень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которых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должен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соответствовать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сегодняшним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требованиям</w:t>
      </w:r>
      <w:proofErr w:type="spellEnd"/>
      <w:r w:rsidRPr="00156C78">
        <w:rPr>
          <w:sz w:val="28"/>
          <w:szCs w:val="28"/>
        </w:rPr>
        <w:t xml:space="preserve">. В </w:t>
      </w:r>
      <w:proofErr w:type="spellStart"/>
      <w:r w:rsidRPr="00156C78">
        <w:rPr>
          <w:sz w:val="28"/>
          <w:szCs w:val="28"/>
        </w:rPr>
        <w:t>работе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раскрыта</w:t>
      </w:r>
      <w:proofErr w:type="spellEnd"/>
      <w:r w:rsidRPr="00156C78">
        <w:rPr>
          <w:sz w:val="28"/>
          <w:szCs w:val="28"/>
        </w:rPr>
        <w:t xml:space="preserve"> суть </w:t>
      </w:r>
      <w:proofErr w:type="spellStart"/>
      <w:r w:rsidRPr="00156C78">
        <w:rPr>
          <w:sz w:val="28"/>
          <w:szCs w:val="28"/>
        </w:rPr>
        <w:t>содержания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готовности</w:t>
      </w:r>
      <w:proofErr w:type="spellEnd"/>
      <w:r w:rsidRPr="00156C78">
        <w:rPr>
          <w:sz w:val="28"/>
          <w:szCs w:val="28"/>
        </w:rPr>
        <w:t xml:space="preserve"> будущих </w:t>
      </w:r>
      <w:proofErr w:type="spellStart"/>
      <w:r w:rsidRPr="00156C78">
        <w:rPr>
          <w:sz w:val="28"/>
          <w:szCs w:val="28"/>
        </w:rPr>
        <w:t>социальных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работников</w:t>
      </w:r>
      <w:proofErr w:type="spellEnd"/>
      <w:r w:rsidRPr="00156C78">
        <w:rPr>
          <w:sz w:val="28"/>
          <w:szCs w:val="28"/>
        </w:rPr>
        <w:t xml:space="preserve"> к </w:t>
      </w:r>
      <w:proofErr w:type="spellStart"/>
      <w:r w:rsidRPr="00156C78">
        <w:rPr>
          <w:sz w:val="28"/>
          <w:szCs w:val="28"/>
        </w:rPr>
        <w:t>использованию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интер</w:t>
      </w:r>
      <w:r w:rsidRPr="00156C78">
        <w:rPr>
          <w:sz w:val="28"/>
          <w:szCs w:val="28"/>
        </w:rPr>
        <w:t>а</w:t>
      </w:r>
      <w:r w:rsidRPr="00156C78">
        <w:rPr>
          <w:sz w:val="28"/>
          <w:szCs w:val="28"/>
        </w:rPr>
        <w:t>ктивных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технологий</w:t>
      </w:r>
      <w:proofErr w:type="spellEnd"/>
      <w:r w:rsidRPr="00156C78">
        <w:rPr>
          <w:sz w:val="28"/>
          <w:szCs w:val="28"/>
        </w:rPr>
        <w:t xml:space="preserve"> в </w:t>
      </w:r>
      <w:proofErr w:type="spellStart"/>
      <w:r w:rsidRPr="00156C78">
        <w:rPr>
          <w:sz w:val="28"/>
          <w:szCs w:val="28"/>
        </w:rPr>
        <w:t>профессиональной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деятельности</w:t>
      </w:r>
      <w:proofErr w:type="spellEnd"/>
      <w:r w:rsidRPr="00156C78">
        <w:rPr>
          <w:sz w:val="28"/>
          <w:szCs w:val="28"/>
        </w:rPr>
        <w:t xml:space="preserve">, </w:t>
      </w:r>
      <w:proofErr w:type="spellStart"/>
      <w:r w:rsidRPr="00156C78">
        <w:rPr>
          <w:sz w:val="28"/>
          <w:szCs w:val="28"/>
        </w:rPr>
        <w:t>обоснованные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критерии</w:t>
      </w:r>
      <w:proofErr w:type="spellEnd"/>
      <w:r w:rsidRPr="00156C78">
        <w:rPr>
          <w:sz w:val="28"/>
          <w:szCs w:val="28"/>
        </w:rPr>
        <w:t xml:space="preserve">, </w:t>
      </w:r>
      <w:proofErr w:type="spellStart"/>
      <w:r w:rsidRPr="00156C78">
        <w:rPr>
          <w:sz w:val="28"/>
          <w:szCs w:val="28"/>
        </w:rPr>
        <w:t>показатели</w:t>
      </w:r>
      <w:proofErr w:type="spellEnd"/>
      <w:r w:rsidRPr="00156C78">
        <w:rPr>
          <w:sz w:val="28"/>
          <w:szCs w:val="28"/>
        </w:rPr>
        <w:t xml:space="preserve"> и </w:t>
      </w:r>
      <w:proofErr w:type="spellStart"/>
      <w:r w:rsidRPr="00156C78">
        <w:rPr>
          <w:sz w:val="28"/>
          <w:szCs w:val="28"/>
        </w:rPr>
        <w:t>ур</w:t>
      </w:r>
      <w:r w:rsidRPr="00156C78">
        <w:rPr>
          <w:sz w:val="28"/>
          <w:szCs w:val="28"/>
        </w:rPr>
        <w:t>о</w:t>
      </w:r>
      <w:r w:rsidRPr="00156C78">
        <w:rPr>
          <w:sz w:val="28"/>
          <w:szCs w:val="28"/>
        </w:rPr>
        <w:t>вни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сформированности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определяемый</w:t>
      </w:r>
      <w:proofErr w:type="spellEnd"/>
      <w:r w:rsidRPr="00156C78">
        <w:rPr>
          <w:sz w:val="28"/>
          <w:szCs w:val="28"/>
        </w:rPr>
        <w:t xml:space="preserve"> </w:t>
      </w:r>
      <w:proofErr w:type="spellStart"/>
      <w:r w:rsidRPr="00156C78">
        <w:rPr>
          <w:sz w:val="28"/>
          <w:szCs w:val="28"/>
        </w:rPr>
        <w:t>готовности</w:t>
      </w:r>
      <w:proofErr w:type="spellEnd"/>
      <w:r w:rsidRPr="00156C78">
        <w:rPr>
          <w:sz w:val="28"/>
          <w:szCs w:val="28"/>
        </w:rPr>
        <w:t>.</w:t>
      </w:r>
    </w:p>
    <w:p w:rsidR="00156C78" w:rsidRPr="00156C78" w:rsidRDefault="00156C78" w:rsidP="00156C78">
      <w:pPr>
        <w:pStyle w:val="a7"/>
        <w:spacing w:line="360" w:lineRule="auto"/>
        <w:rPr>
          <w:i w:val="0"/>
          <w:sz w:val="28"/>
          <w:szCs w:val="28"/>
        </w:rPr>
      </w:pPr>
      <w:proofErr w:type="spellStart"/>
      <w:r w:rsidRPr="00156C78">
        <w:rPr>
          <w:b/>
          <w:i w:val="0"/>
          <w:sz w:val="28"/>
          <w:szCs w:val="28"/>
        </w:rPr>
        <w:t>Ключевые</w:t>
      </w:r>
      <w:proofErr w:type="spellEnd"/>
      <w:r w:rsidRPr="00156C78">
        <w:rPr>
          <w:b/>
          <w:i w:val="0"/>
          <w:sz w:val="28"/>
          <w:szCs w:val="28"/>
        </w:rPr>
        <w:t xml:space="preserve"> слова</w:t>
      </w:r>
      <w:r w:rsidRPr="00156C78">
        <w:rPr>
          <w:i w:val="0"/>
          <w:sz w:val="28"/>
          <w:szCs w:val="28"/>
        </w:rPr>
        <w:t xml:space="preserve">: </w:t>
      </w:r>
      <w:proofErr w:type="spellStart"/>
      <w:r w:rsidRPr="00156C78">
        <w:rPr>
          <w:i w:val="0"/>
          <w:sz w:val="28"/>
          <w:szCs w:val="28"/>
        </w:rPr>
        <w:t>готовность</w:t>
      </w:r>
      <w:proofErr w:type="spellEnd"/>
      <w:r w:rsidRPr="00156C78">
        <w:rPr>
          <w:i w:val="0"/>
          <w:sz w:val="28"/>
          <w:szCs w:val="28"/>
        </w:rPr>
        <w:t xml:space="preserve">, </w:t>
      </w:r>
      <w:proofErr w:type="spellStart"/>
      <w:r w:rsidRPr="00156C78">
        <w:rPr>
          <w:i w:val="0"/>
          <w:sz w:val="28"/>
          <w:szCs w:val="28"/>
        </w:rPr>
        <w:t>интерактивные</w:t>
      </w:r>
      <w:proofErr w:type="spellEnd"/>
      <w:r w:rsidRPr="00156C78">
        <w:rPr>
          <w:i w:val="0"/>
          <w:sz w:val="28"/>
          <w:szCs w:val="28"/>
        </w:rPr>
        <w:t xml:space="preserve"> </w:t>
      </w:r>
      <w:proofErr w:type="spellStart"/>
      <w:r w:rsidRPr="00156C78">
        <w:rPr>
          <w:i w:val="0"/>
          <w:sz w:val="28"/>
          <w:szCs w:val="28"/>
        </w:rPr>
        <w:t>технологии</w:t>
      </w:r>
      <w:proofErr w:type="spellEnd"/>
      <w:r w:rsidRPr="00156C78">
        <w:rPr>
          <w:i w:val="0"/>
          <w:sz w:val="28"/>
          <w:szCs w:val="28"/>
        </w:rPr>
        <w:t xml:space="preserve">, </w:t>
      </w:r>
      <w:proofErr w:type="spellStart"/>
      <w:r w:rsidRPr="00156C78">
        <w:rPr>
          <w:i w:val="0"/>
          <w:sz w:val="28"/>
          <w:szCs w:val="28"/>
        </w:rPr>
        <w:t>критерии</w:t>
      </w:r>
      <w:proofErr w:type="spellEnd"/>
      <w:r w:rsidRPr="00156C78">
        <w:rPr>
          <w:i w:val="0"/>
          <w:sz w:val="28"/>
          <w:szCs w:val="28"/>
        </w:rPr>
        <w:t xml:space="preserve">, </w:t>
      </w:r>
      <w:proofErr w:type="spellStart"/>
      <w:r w:rsidRPr="00156C78">
        <w:rPr>
          <w:i w:val="0"/>
          <w:sz w:val="28"/>
          <w:szCs w:val="28"/>
        </w:rPr>
        <w:t>показатели</w:t>
      </w:r>
      <w:proofErr w:type="spellEnd"/>
      <w:r w:rsidRPr="00156C78">
        <w:rPr>
          <w:i w:val="0"/>
          <w:sz w:val="28"/>
          <w:szCs w:val="28"/>
        </w:rPr>
        <w:t xml:space="preserve">, </w:t>
      </w:r>
      <w:proofErr w:type="spellStart"/>
      <w:r w:rsidRPr="00156C78">
        <w:rPr>
          <w:i w:val="0"/>
          <w:sz w:val="28"/>
          <w:szCs w:val="28"/>
        </w:rPr>
        <w:t>уровни</w:t>
      </w:r>
      <w:proofErr w:type="spellEnd"/>
      <w:r w:rsidRPr="00156C78">
        <w:rPr>
          <w:i w:val="0"/>
          <w:sz w:val="28"/>
          <w:szCs w:val="28"/>
        </w:rPr>
        <w:t xml:space="preserve"> </w:t>
      </w:r>
      <w:proofErr w:type="spellStart"/>
      <w:r w:rsidRPr="00156C78">
        <w:rPr>
          <w:i w:val="0"/>
          <w:sz w:val="28"/>
          <w:szCs w:val="28"/>
        </w:rPr>
        <w:t>гот</w:t>
      </w:r>
      <w:r w:rsidRPr="00156C78">
        <w:rPr>
          <w:i w:val="0"/>
          <w:sz w:val="28"/>
          <w:szCs w:val="28"/>
        </w:rPr>
        <w:t>о</w:t>
      </w:r>
      <w:r w:rsidRPr="00156C78">
        <w:rPr>
          <w:i w:val="0"/>
          <w:sz w:val="28"/>
          <w:szCs w:val="28"/>
        </w:rPr>
        <w:t>вности</w:t>
      </w:r>
      <w:proofErr w:type="spellEnd"/>
      <w:r w:rsidRPr="00156C78">
        <w:rPr>
          <w:i w:val="0"/>
          <w:sz w:val="28"/>
          <w:szCs w:val="28"/>
        </w:rPr>
        <w:t xml:space="preserve">, </w:t>
      </w:r>
      <w:proofErr w:type="spellStart"/>
      <w:r w:rsidRPr="00156C78">
        <w:rPr>
          <w:i w:val="0"/>
          <w:sz w:val="28"/>
          <w:szCs w:val="28"/>
        </w:rPr>
        <w:t>социальный</w:t>
      </w:r>
      <w:proofErr w:type="spellEnd"/>
      <w:r w:rsidRPr="00156C78">
        <w:rPr>
          <w:i w:val="0"/>
          <w:sz w:val="28"/>
          <w:szCs w:val="28"/>
        </w:rPr>
        <w:t xml:space="preserve"> </w:t>
      </w:r>
      <w:proofErr w:type="spellStart"/>
      <w:r w:rsidRPr="00156C78">
        <w:rPr>
          <w:i w:val="0"/>
          <w:sz w:val="28"/>
          <w:szCs w:val="28"/>
        </w:rPr>
        <w:t>работник</w:t>
      </w:r>
      <w:proofErr w:type="spellEnd"/>
      <w:r w:rsidRPr="00156C78">
        <w:rPr>
          <w:i w:val="0"/>
          <w:sz w:val="28"/>
          <w:szCs w:val="28"/>
        </w:rPr>
        <w:t>.</w:t>
      </w:r>
    </w:p>
    <w:p w:rsidR="00156C78" w:rsidRPr="00156C78" w:rsidRDefault="00156C78" w:rsidP="00156C78">
      <w:pPr>
        <w:pStyle w:val="aa"/>
        <w:spacing w:line="360" w:lineRule="auto"/>
        <w:rPr>
          <w:sz w:val="28"/>
          <w:szCs w:val="28"/>
          <w:lang w:val="en-US"/>
        </w:rPr>
      </w:pPr>
      <w:r w:rsidRPr="00156C78">
        <w:rPr>
          <w:sz w:val="28"/>
          <w:szCs w:val="28"/>
          <w:lang w:val="en-US"/>
        </w:rPr>
        <w:t>L</w:t>
      </w:r>
      <w:r w:rsidRPr="00156C78">
        <w:rPr>
          <w:sz w:val="28"/>
          <w:szCs w:val="28"/>
          <w:lang w:val="uk-UA"/>
        </w:rPr>
        <w:t>.О.</w:t>
      </w:r>
      <w:r w:rsidRPr="00156C78">
        <w:rPr>
          <w:sz w:val="28"/>
          <w:szCs w:val="28"/>
          <w:lang w:val="en-US"/>
        </w:rPr>
        <w:t xml:space="preserve"> </w:t>
      </w:r>
      <w:proofErr w:type="spellStart"/>
      <w:r w:rsidRPr="00156C78">
        <w:rPr>
          <w:sz w:val="28"/>
          <w:szCs w:val="28"/>
          <w:lang w:val="en-US"/>
        </w:rPr>
        <w:t>Khomenko-Semenova</w:t>
      </w:r>
      <w:proofErr w:type="spellEnd"/>
    </w:p>
    <w:p w:rsidR="00156C78" w:rsidRPr="00156C78" w:rsidRDefault="00156C78" w:rsidP="00156C78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en-US"/>
        </w:rPr>
      </w:pPr>
      <w:r w:rsidRPr="00156C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 w:eastAsia="en-US"/>
        </w:rPr>
        <w:t>Criteria, indicators and levels of formation readiness of future social workers to using</w:t>
      </w:r>
      <w:r w:rsidRPr="00156C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156C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 w:eastAsia="en-US"/>
        </w:rPr>
        <w:t>interactive technologies</w:t>
      </w:r>
      <w:r w:rsidRPr="00156C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156C7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 w:eastAsia="en-US"/>
        </w:rPr>
        <w:t>in professional activity</w:t>
      </w:r>
    </w:p>
    <w:p w:rsidR="00156C78" w:rsidRPr="00156C78" w:rsidRDefault="00156C78" w:rsidP="00156C78">
      <w:pPr>
        <w:pStyle w:val="a7"/>
        <w:spacing w:line="360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The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article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is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devoted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to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actual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problem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training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future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social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workers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whose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professional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level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must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comply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with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today’s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requirements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The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paper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discloses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the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essence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the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content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the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readiness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future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social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workers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to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using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interactive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technologies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in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professional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work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substantiated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criteria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indicators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and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levels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formation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determined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readiness</w:t>
      </w:r>
      <w:proofErr w:type="spellEnd"/>
      <w:r w:rsidRPr="00156C78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156C78" w:rsidRPr="00156C78" w:rsidRDefault="00156C78" w:rsidP="00156C78">
      <w:pPr>
        <w:pStyle w:val="a7"/>
        <w:spacing w:line="360" w:lineRule="auto"/>
        <w:rPr>
          <w:rFonts w:eastAsia="Calibri"/>
          <w:i w:val="0"/>
          <w:sz w:val="28"/>
          <w:szCs w:val="28"/>
          <w:lang w:eastAsia="en-US"/>
        </w:rPr>
      </w:pPr>
      <w:proofErr w:type="spellStart"/>
      <w:r w:rsidRPr="00156C78">
        <w:rPr>
          <w:rFonts w:eastAsia="Calibri"/>
          <w:b/>
          <w:i w:val="0"/>
          <w:sz w:val="28"/>
          <w:szCs w:val="28"/>
          <w:shd w:val="clear" w:color="auto" w:fill="FFFFFF"/>
          <w:lang w:eastAsia="en-US"/>
        </w:rPr>
        <w:t>Keywords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readiness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interactive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technology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criteria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indicators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levels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of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readiness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social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worker</w:t>
      </w:r>
      <w:proofErr w:type="spellEnd"/>
      <w:r w:rsidRPr="00156C78">
        <w:rPr>
          <w:rFonts w:eastAsia="Calibri"/>
          <w:i w:val="0"/>
          <w:sz w:val="28"/>
          <w:szCs w:val="28"/>
          <w:shd w:val="clear" w:color="auto" w:fill="FFFFFF"/>
          <w:lang w:eastAsia="en-US"/>
        </w:rPr>
        <w:t>.</w:t>
      </w:r>
    </w:p>
    <w:p w:rsidR="004518A6" w:rsidRPr="00156C78" w:rsidRDefault="004518A6" w:rsidP="00156C7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18A6" w:rsidRPr="0015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12F30"/>
    <w:multiLevelType w:val="hybridMultilevel"/>
    <w:tmpl w:val="1794E8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C78"/>
    <w:rsid w:val="00156C78"/>
    <w:rsid w:val="0045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qFormat/>
    <w:rsid w:val="00156C78"/>
    <w:pPr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b/>
    </w:rPr>
  </w:style>
  <w:style w:type="paragraph" w:customStyle="1" w:styleId="a4">
    <w:name w:val="НАЗВАНИЕ СТАТЬИ"/>
    <w:basedOn w:val="a"/>
    <w:qFormat/>
    <w:rsid w:val="00156C78"/>
    <w:pPr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customStyle="1" w:styleId="a5">
    <w:name w:val="ВИСНОВОК"/>
    <w:basedOn w:val="a6"/>
    <w:qFormat/>
    <w:rsid w:val="00156C78"/>
    <w:pPr>
      <w:spacing w:before="120" w:after="0" w:line="240" w:lineRule="auto"/>
      <w:ind w:left="0" w:firstLine="567"/>
      <w:contextualSpacing w:val="0"/>
      <w:jc w:val="both"/>
    </w:pPr>
    <w:rPr>
      <w:rFonts w:ascii="Times New Roman" w:eastAsia="Times New Roman" w:hAnsi="Times New Roman" w:cs="Times New Roman"/>
      <w:b/>
      <w:lang w:val="uk-UA" w:eastAsia="uk-UA"/>
    </w:rPr>
  </w:style>
  <w:style w:type="paragraph" w:customStyle="1" w:styleId="a7">
    <w:name w:val="АННОТАЦИЯ"/>
    <w:basedOn w:val="a8"/>
    <w:qFormat/>
    <w:rsid w:val="00156C78"/>
    <w:pPr>
      <w:autoSpaceDE w:val="0"/>
      <w:autoSpaceDN w:val="0"/>
      <w:spacing w:after="0"/>
      <w:ind w:firstLine="567"/>
      <w:jc w:val="both"/>
    </w:pPr>
    <w:rPr>
      <w:rFonts w:ascii="Times New Roman" w:eastAsia="Times New Roman" w:hAnsi="Times New Roman" w:cs="Times New Roman"/>
      <w:b w:val="0"/>
      <w:bCs w:val="0"/>
      <w:i/>
      <w:color w:val="auto"/>
      <w:sz w:val="22"/>
      <w:szCs w:val="22"/>
      <w:lang w:val="uk-UA"/>
    </w:rPr>
  </w:style>
  <w:style w:type="paragraph" w:customStyle="1" w:styleId="a9">
    <w:name w:val="ЛІТЕРАТУРА"/>
    <w:basedOn w:val="a5"/>
    <w:qFormat/>
    <w:rsid w:val="00156C78"/>
    <w:pPr>
      <w:spacing w:after="60"/>
    </w:pPr>
  </w:style>
  <w:style w:type="paragraph" w:customStyle="1" w:styleId="1">
    <w:name w:val="АБЗАЦ 1"/>
    <w:basedOn w:val="a"/>
    <w:link w:val="10"/>
    <w:qFormat/>
    <w:rsid w:val="00156C7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aa">
    <w:name w:val="ФАМИЛИЯ АННОТАЦИИ"/>
    <w:basedOn w:val="a"/>
    <w:rsid w:val="00156C78"/>
    <w:pPr>
      <w:spacing w:before="240" w:after="60" w:line="240" w:lineRule="auto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customStyle="1" w:styleId="ab">
    <w:name w:val="ТАБЛИЦЯ"/>
    <w:basedOn w:val="a"/>
    <w:qFormat/>
    <w:rsid w:val="00156C78"/>
    <w:pPr>
      <w:spacing w:after="120" w:line="240" w:lineRule="auto"/>
      <w:ind w:firstLine="709"/>
      <w:jc w:val="right"/>
    </w:pPr>
    <w:rPr>
      <w:rFonts w:ascii="Times New Roman" w:eastAsia="Calibri" w:hAnsi="Times New Roman" w:cs="Times New Roman"/>
      <w:i/>
      <w:lang w:val="uk-UA"/>
    </w:rPr>
  </w:style>
  <w:style w:type="character" w:customStyle="1" w:styleId="10">
    <w:name w:val="АБЗАЦ 1 Знак"/>
    <w:basedOn w:val="a0"/>
    <w:link w:val="1"/>
    <w:rsid w:val="00156C78"/>
    <w:rPr>
      <w:rFonts w:ascii="Times New Roman" w:eastAsia="Times New Roman" w:hAnsi="Times New Roman" w:cs="Times New Roman"/>
      <w:lang w:val="uk-UA" w:eastAsia="uk-UA"/>
    </w:rPr>
  </w:style>
  <w:style w:type="paragraph" w:styleId="a6">
    <w:name w:val="List Paragraph"/>
    <w:basedOn w:val="a"/>
    <w:uiPriority w:val="34"/>
    <w:qFormat/>
    <w:rsid w:val="00156C78"/>
    <w:pPr>
      <w:ind w:left="720"/>
      <w:contextualSpacing/>
    </w:pPr>
  </w:style>
  <w:style w:type="paragraph" w:styleId="a8">
    <w:name w:val="caption"/>
    <w:basedOn w:val="a"/>
    <w:next w:val="a"/>
    <w:uiPriority w:val="35"/>
    <w:semiHidden/>
    <w:unhideWhenUsed/>
    <w:qFormat/>
    <w:rsid w:val="00156C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2110</Words>
  <Characters>12032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2015-05-15T08:06:00Z</dcterms:created>
  <dcterms:modified xsi:type="dcterms:W3CDTF">2015-05-15T08:07:00Z</dcterms:modified>
</cp:coreProperties>
</file>