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31" w:rsidRPr="00DD49C9" w:rsidRDefault="00E60831" w:rsidP="00E60831">
      <w:pPr>
        <w:jc w:val="center"/>
        <w:rPr>
          <w:rFonts w:ascii="Times New Roman" w:hAnsi="Times New Roman" w:cs="Times New Roman"/>
          <w:b/>
          <w:color w:val="000000"/>
          <w:spacing w:val="2"/>
          <w:w w:val="105"/>
          <w:sz w:val="24"/>
          <w:szCs w:val="24"/>
          <w:lang w:val="uk-UA"/>
        </w:rPr>
      </w:pPr>
      <w:r w:rsidRPr="00DD49C9">
        <w:rPr>
          <w:rFonts w:ascii="Times New Roman" w:hAnsi="Times New Roman" w:cs="Times New Roman"/>
          <w:b/>
          <w:color w:val="000000"/>
          <w:spacing w:val="2"/>
          <w:w w:val="105"/>
          <w:sz w:val="24"/>
          <w:szCs w:val="24"/>
          <w:lang w:val="uk-UA"/>
        </w:rPr>
        <w:t>ВРАХУВАННЯ СТАНДАРТІВ ISO СЕРУЇ 9000 ПРИ ВИЗНАЧЕННІ</w:t>
      </w:r>
    </w:p>
    <w:p w:rsidR="00E60831" w:rsidRDefault="00E60831" w:rsidP="00E60831">
      <w:pPr>
        <w:jc w:val="center"/>
        <w:rPr>
          <w:rFonts w:ascii="Times New Roman" w:hAnsi="Times New Roman" w:cs="Times New Roman"/>
          <w:b/>
          <w:color w:val="000000"/>
          <w:spacing w:val="2"/>
          <w:w w:val="105"/>
          <w:sz w:val="24"/>
          <w:szCs w:val="24"/>
          <w:lang w:val="uk-UA"/>
        </w:rPr>
      </w:pPr>
      <w:r w:rsidRPr="00DD49C9">
        <w:rPr>
          <w:rFonts w:ascii="Times New Roman" w:hAnsi="Times New Roman" w:cs="Times New Roman"/>
          <w:b/>
          <w:color w:val="000000"/>
          <w:spacing w:val="2"/>
          <w:w w:val="105"/>
          <w:sz w:val="24"/>
          <w:szCs w:val="24"/>
          <w:lang w:val="uk-UA"/>
        </w:rPr>
        <w:t>ЗМІСТУ НАВЧАННЯ</w:t>
      </w:r>
    </w:p>
    <w:p w:rsidR="00E60831" w:rsidRPr="00E01D94" w:rsidRDefault="00E60831" w:rsidP="00E60831">
      <w:pPr>
        <w:rPr>
          <w:rFonts w:ascii="Times New Roman" w:hAnsi="Times New Roman" w:cs="Times New Roman"/>
          <w:b/>
          <w:sz w:val="28"/>
          <w:szCs w:val="28"/>
        </w:rPr>
      </w:pPr>
      <w:r w:rsidRPr="00E01D9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01D94">
        <w:rPr>
          <w:rFonts w:ascii="Times New Roman" w:hAnsi="Times New Roman"/>
          <w:b/>
          <w:sz w:val="28"/>
          <w:szCs w:val="28"/>
        </w:rPr>
        <w:t xml:space="preserve">ПІБ автора та </w:t>
      </w:r>
      <w:proofErr w:type="spellStart"/>
      <w:r w:rsidRPr="00E01D94">
        <w:rPr>
          <w:rFonts w:ascii="Times New Roman" w:hAnsi="Times New Roman"/>
          <w:b/>
          <w:sz w:val="28"/>
          <w:szCs w:val="28"/>
        </w:rPr>
        <w:t>співавторів</w:t>
      </w:r>
      <w:proofErr w:type="spellEnd"/>
    </w:p>
    <w:p w:rsidR="00E60831" w:rsidRDefault="00E60831" w:rsidP="00E60831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А.М. ОВСЯНКІН</w:t>
      </w:r>
    </w:p>
    <w:p w:rsidR="00E60831" w:rsidRDefault="00E60831" w:rsidP="00E60831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В.Д. ШПИЛЬОВИЙ</w:t>
      </w:r>
    </w:p>
    <w:p w:rsidR="00E60831" w:rsidRPr="00DD49C9" w:rsidRDefault="00E60831" w:rsidP="00E608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С.А. ЯСЕНКО</w:t>
      </w:r>
    </w:p>
    <w:p w:rsidR="00E60831" w:rsidRPr="00E01D94" w:rsidRDefault="00E60831" w:rsidP="00E608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1D94">
        <w:rPr>
          <w:rFonts w:ascii="Times New Roman" w:hAnsi="Times New Roman" w:cs="Times New Roman"/>
          <w:b/>
          <w:sz w:val="28"/>
          <w:szCs w:val="28"/>
        </w:rPr>
        <w:t xml:space="preserve">2. Дата </w:t>
      </w:r>
      <w:proofErr w:type="spellStart"/>
      <w:r w:rsidRPr="00E01D94">
        <w:rPr>
          <w:rFonts w:ascii="Times New Roman" w:hAnsi="Times New Roman" w:cs="Times New Roman"/>
          <w:b/>
          <w:sz w:val="28"/>
          <w:szCs w:val="28"/>
        </w:rPr>
        <w:t>публ</w:t>
      </w:r>
      <w:r>
        <w:rPr>
          <w:rFonts w:ascii="Times New Roman" w:hAnsi="Times New Roman" w:cs="Times New Roman"/>
          <w:b/>
          <w:sz w:val="28"/>
          <w:szCs w:val="28"/>
        </w:rPr>
        <w:t>ікації</w:t>
      </w:r>
      <w:proofErr w:type="spellEnd"/>
    </w:p>
    <w:p w:rsidR="00E60831" w:rsidRPr="00DD49C9" w:rsidRDefault="00E60831" w:rsidP="00E608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17-18 листопада 2011 р.</w:t>
      </w:r>
    </w:p>
    <w:p w:rsidR="00E60831" w:rsidRDefault="00E60831" w:rsidP="00E60831">
      <w:pPr>
        <w:rPr>
          <w:rFonts w:ascii="Times New Roman" w:hAnsi="Times New Roman"/>
          <w:sz w:val="28"/>
          <w:szCs w:val="28"/>
          <w:lang w:val="uk-UA"/>
        </w:rPr>
      </w:pPr>
      <w:r w:rsidRPr="00E01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E01D94">
        <w:rPr>
          <w:rFonts w:ascii="Times New Roman" w:hAnsi="Times New Roman"/>
          <w:b/>
          <w:sz w:val="28"/>
          <w:szCs w:val="28"/>
        </w:rPr>
        <w:t>Видавець</w:t>
      </w:r>
      <w:proofErr w:type="spellEnd"/>
      <w:r w:rsidRPr="00E01D94">
        <w:rPr>
          <w:rFonts w:ascii="Times New Roman" w:hAnsi="Times New Roman"/>
          <w:b/>
          <w:sz w:val="28"/>
          <w:szCs w:val="28"/>
        </w:rPr>
        <w:t xml:space="preserve"> журналу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0831" w:rsidRDefault="00E60831" w:rsidP="00E608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Гаража, Полтава, Україна </w:t>
      </w:r>
    </w:p>
    <w:p w:rsidR="00E60831" w:rsidRDefault="00E60831" w:rsidP="00E60831">
      <w:pPr>
        <w:rPr>
          <w:rFonts w:ascii="Times New Roman" w:hAnsi="Times New Roman"/>
          <w:b/>
          <w:sz w:val="28"/>
          <w:szCs w:val="28"/>
        </w:rPr>
      </w:pPr>
      <w:r w:rsidRPr="00E01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E01D94">
        <w:rPr>
          <w:rFonts w:ascii="Times New Roman" w:hAnsi="Times New Roman"/>
          <w:b/>
          <w:sz w:val="28"/>
          <w:szCs w:val="28"/>
        </w:rPr>
        <w:t>Бібліографія</w:t>
      </w:r>
      <w:proofErr w:type="spellEnd"/>
    </w:p>
    <w:p w:rsidR="00E60831" w:rsidRPr="00DD49C9" w:rsidRDefault="00E60831" w:rsidP="00E608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D49C9">
        <w:rPr>
          <w:rFonts w:ascii="Times New Roman" w:hAnsi="Times New Roman"/>
          <w:sz w:val="28"/>
          <w:szCs w:val="28"/>
          <w:lang w:val="uk-UA"/>
        </w:rPr>
        <w:t xml:space="preserve">Програма економічних реформ на 2010 - 2014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>. "Заможне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9C9">
        <w:rPr>
          <w:rFonts w:ascii="Times New Roman" w:hAnsi="Times New Roman"/>
          <w:sz w:val="28"/>
          <w:szCs w:val="28"/>
          <w:lang w:val="uk-UA"/>
        </w:rPr>
        <w:t>суспільство, конкурентоспроможна економіка, ефективна держава</w:t>
      </w:r>
      <w:r w:rsidRPr="00DD49C9">
        <w:rPr>
          <w:rFonts w:ascii="Times New Roman" w:hAnsi="Times New Roman"/>
          <w:b/>
          <w:sz w:val="28"/>
          <w:szCs w:val="28"/>
          <w:lang w:val="uk-UA"/>
        </w:rPr>
        <w:t>".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D49C9">
        <w:rPr>
          <w:rFonts w:ascii="Times New Roman" w:hAnsi="Times New Roman"/>
          <w:sz w:val="28"/>
          <w:szCs w:val="28"/>
          <w:lang w:val="uk-UA"/>
        </w:rPr>
        <w:t xml:space="preserve">Комітет з економічних реформ при Президентові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9C9">
        <w:rPr>
          <w:rFonts w:ascii="Times New Roman" w:hAnsi="Times New Roman"/>
          <w:sz w:val="28"/>
          <w:szCs w:val="28"/>
          <w:lang w:val="uk-UA"/>
        </w:rPr>
        <w:t xml:space="preserve">[Електронний ресурс] -.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Електорон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дан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>. (1 файл). - К., 2010. -87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9C9">
        <w:rPr>
          <w:rFonts w:ascii="Times New Roman" w:hAnsi="Times New Roman"/>
          <w:sz w:val="28"/>
          <w:szCs w:val="28"/>
          <w:lang w:val="uk-UA"/>
        </w:rPr>
        <w:t>Режим</w:t>
      </w:r>
      <w:r w:rsidRPr="00DD49C9">
        <w:rPr>
          <w:rFonts w:ascii="Times New Roman" w:hAnsi="Times New Roman"/>
          <w:sz w:val="28"/>
          <w:szCs w:val="28"/>
          <w:lang w:val="uk-UA"/>
        </w:rPr>
        <w:tab/>
        <w:t xml:space="preserve">доступу: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http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 xml:space="preserve"> ://www. president.gov.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иа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docs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 xml:space="preserve">/Programareform_FINAL,_2.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Pdf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9C9">
        <w:rPr>
          <w:rFonts w:ascii="Times New Roman" w:hAnsi="Times New Roman"/>
          <w:sz w:val="28"/>
          <w:szCs w:val="28"/>
          <w:lang w:val="uk-UA"/>
        </w:rPr>
        <w:t>2.</w:t>
      </w:r>
      <w:r w:rsidRPr="00DD49C9">
        <w:rPr>
          <w:rFonts w:ascii="Times New Roman" w:hAnsi="Times New Roman"/>
          <w:sz w:val="28"/>
          <w:szCs w:val="28"/>
          <w:lang w:val="uk-UA"/>
        </w:rPr>
        <w:tab/>
        <w:t xml:space="preserve">Проект 3акону України "Про вищу освіту" Міністерства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9C9">
        <w:rPr>
          <w:rFonts w:ascii="Times New Roman" w:hAnsi="Times New Roman"/>
          <w:sz w:val="28"/>
          <w:szCs w:val="28"/>
          <w:lang w:val="uk-UA"/>
        </w:rPr>
        <w:t xml:space="preserve">і науки, молоді та спорту України [Електронний ресурс] -.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Електорон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дан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>. (1 файл). - Режим доступу: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Pr="00083F6F">
          <w:rPr>
            <w:rStyle w:val="a4"/>
            <w:rFonts w:ascii="Times New Roman" w:hAnsi="Times New Roman"/>
            <w:sz w:val="28"/>
            <w:szCs w:val="28"/>
            <w:lang w:val="uk-UA"/>
          </w:rPr>
          <w:t xml:space="preserve">http://mon.gov.ua/imagesJqr/obg12011/proekt </w:t>
        </w:r>
        <w:proofErr w:type="spellStart"/>
        <w:r w:rsidRPr="00083F6F">
          <w:rPr>
            <w:rStyle w:val="a4"/>
            <w:rFonts w:ascii="Times New Roman" w:hAnsi="Times New Roman"/>
            <w:sz w:val="28"/>
            <w:szCs w:val="28"/>
            <w:lang w:val="uk-UA"/>
          </w:rPr>
          <w:t>zakony</w:t>
        </w:r>
        <w:proofErr w:type="spellEnd"/>
        <w:r w:rsidRPr="00083F6F">
          <w:rPr>
            <w:rStyle w:val="a4"/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083F6F">
          <w:rPr>
            <w:rStyle w:val="a4"/>
            <w:rFonts w:ascii="Times New Roman" w:hAnsi="Times New Roman"/>
            <w:sz w:val="28"/>
            <w:szCs w:val="28"/>
            <w:lang w:val="uk-UA"/>
          </w:rPr>
          <w:t>ukrainu</w:t>
        </w:r>
        <w:proofErr w:type="spellEnd"/>
        <w:r w:rsidRPr="00083F6F">
          <w:rPr>
            <w:rStyle w:val="a4"/>
            <w:rFonts w:ascii="Times New Roman" w:hAnsi="Times New Roman"/>
            <w:sz w:val="28"/>
            <w:szCs w:val="28"/>
            <w:lang w:val="uk-UA"/>
          </w:rPr>
          <w:t xml:space="preserve">  28. 06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D49C9">
        <w:rPr>
          <w:rFonts w:ascii="Times New Roman" w:hAnsi="Times New Roman"/>
          <w:sz w:val="28"/>
          <w:szCs w:val="28"/>
          <w:lang w:val="uk-UA"/>
        </w:rPr>
        <w:t>2011.дос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9C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D49C9">
        <w:rPr>
          <w:rFonts w:ascii="Times New Roman" w:hAnsi="Times New Roman"/>
          <w:sz w:val="28"/>
          <w:szCs w:val="28"/>
          <w:lang w:val="uk-UA"/>
        </w:rPr>
        <w:t>Проект «Освітня реформа: зв'язок освіти та ринку праці».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D49C9">
        <w:rPr>
          <w:rFonts w:ascii="Times New Roman" w:hAnsi="Times New Roman"/>
          <w:sz w:val="28"/>
          <w:szCs w:val="28"/>
          <w:lang w:val="uk-UA"/>
        </w:rPr>
        <w:t>Міжнародний центр перспективних досліджень. [Ел</w:t>
      </w:r>
      <w:r>
        <w:rPr>
          <w:rFonts w:ascii="Times New Roman" w:hAnsi="Times New Roman"/>
          <w:sz w:val="28"/>
          <w:szCs w:val="28"/>
          <w:lang w:val="uk-UA"/>
        </w:rPr>
        <w:t xml:space="preserve">ектронний ресурс] -.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Електорон.</w:t>
      </w:r>
      <w:r w:rsidRPr="00DD49C9">
        <w:rPr>
          <w:rFonts w:ascii="Times New Roman" w:hAnsi="Times New Roman"/>
          <w:sz w:val="28"/>
          <w:szCs w:val="28"/>
          <w:lang w:val="uk-UA"/>
        </w:rPr>
        <w:t>дан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>. (1 файл). - Режим доступу: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http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 xml:space="preserve"> ://www.ісрѕ.сом.uа/fііеѕ/агtісіеѕ/бб/49/Еduсаtіоn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Reform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 xml:space="preserve"> UK R.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pdf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4. </w:t>
      </w:r>
      <w:r w:rsidRPr="00DD49C9">
        <w:rPr>
          <w:rFonts w:ascii="Times New Roman" w:hAnsi="Times New Roman"/>
          <w:sz w:val="28"/>
          <w:szCs w:val="28"/>
          <w:lang w:val="uk-UA"/>
        </w:rPr>
        <w:t>Стандарти</w:t>
      </w:r>
      <w:r>
        <w:rPr>
          <w:rFonts w:ascii="Times New Roman" w:hAnsi="Times New Roman"/>
          <w:sz w:val="28"/>
          <w:szCs w:val="28"/>
          <w:lang w:val="uk-UA"/>
        </w:rPr>
        <w:t xml:space="preserve"> і рекомендації</w:t>
      </w:r>
      <w:r w:rsidRPr="00DD49C9">
        <w:rPr>
          <w:rFonts w:ascii="Times New Roman" w:hAnsi="Times New Roman"/>
          <w:sz w:val="28"/>
          <w:szCs w:val="28"/>
          <w:lang w:val="uk-UA"/>
        </w:rPr>
        <w:t xml:space="preserve"> щодо забезпечення якості 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9C9">
        <w:rPr>
          <w:rFonts w:ascii="Times New Roman" w:hAnsi="Times New Roman"/>
          <w:sz w:val="28"/>
          <w:szCs w:val="28"/>
          <w:lang w:val="uk-UA"/>
        </w:rPr>
        <w:t xml:space="preserve">Європейському просторі вищої освіти. - К.: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Ленвіт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>, 2006. 35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9C9">
        <w:rPr>
          <w:rFonts w:ascii="Times New Roman" w:hAnsi="Times New Roman"/>
          <w:sz w:val="28"/>
          <w:szCs w:val="28"/>
          <w:lang w:val="uk-UA"/>
        </w:rPr>
        <w:t>5.</w:t>
      </w:r>
      <w:r w:rsidRPr="00DD49C9">
        <w:rPr>
          <w:rFonts w:ascii="Times New Roman" w:hAnsi="Times New Roman"/>
          <w:sz w:val="28"/>
          <w:szCs w:val="28"/>
          <w:lang w:val="uk-UA"/>
        </w:rPr>
        <w:tab/>
        <w:t xml:space="preserve">ДСТУ EN 473 «Неруйнівний контроль. Кваліфікація і </w:t>
      </w:r>
      <w:r>
        <w:rPr>
          <w:rFonts w:ascii="Times New Roman" w:hAnsi="Times New Roman"/>
          <w:sz w:val="28"/>
          <w:szCs w:val="28"/>
          <w:lang w:val="uk-UA"/>
        </w:rPr>
        <w:t xml:space="preserve"> сертифікація персон</w:t>
      </w:r>
      <w:r w:rsidRPr="00DD49C9">
        <w:rPr>
          <w:rFonts w:ascii="Times New Roman" w:hAnsi="Times New Roman"/>
          <w:sz w:val="28"/>
          <w:szCs w:val="28"/>
          <w:lang w:val="uk-UA"/>
        </w:rPr>
        <w:t>алу в галузі неруйнівного контролю (EN 473, IDT)».</w:t>
      </w:r>
      <w:r>
        <w:rPr>
          <w:rFonts w:ascii="Times New Roman" w:hAnsi="Times New Roman"/>
          <w:sz w:val="28"/>
          <w:szCs w:val="28"/>
          <w:lang w:val="uk-UA"/>
        </w:rPr>
        <w:t xml:space="preserve"> 6. </w:t>
      </w:r>
      <w:proofErr w:type="spellStart"/>
      <w:r w:rsidRPr="00DD49C9">
        <w:rPr>
          <w:rFonts w:ascii="Times New Roman" w:hAnsi="Times New Roman"/>
          <w:sz w:val="28"/>
          <w:szCs w:val="28"/>
          <w:lang w:val="uk-UA"/>
        </w:rPr>
        <w:t>прДС.ТУ</w:t>
      </w:r>
      <w:proofErr w:type="spellEnd"/>
      <w:r w:rsidRPr="00DD49C9">
        <w:rPr>
          <w:rFonts w:ascii="Times New Roman" w:hAnsi="Times New Roman"/>
          <w:sz w:val="28"/>
          <w:szCs w:val="28"/>
          <w:lang w:val="uk-UA"/>
        </w:rPr>
        <w:t xml:space="preserve"> EN 4179 «Авіація і космонавтика. Кваліфікаційні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9C9">
        <w:rPr>
          <w:rFonts w:ascii="Times New Roman" w:hAnsi="Times New Roman"/>
          <w:sz w:val="28"/>
          <w:szCs w:val="28"/>
          <w:lang w:val="uk-UA"/>
        </w:rPr>
        <w:t>вимоги і сертифікація персоналу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9C9">
        <w:rPr>
          <w:rFonts w:ascii="Times New Roman" w:hAnsi="Times New Roman"/>
          <w:sz w:val="28"/>
          <w:szCs w:val="28"/>
          <w:lang w:val="uk-UA"/>
        </w:rPr>
        <w:t>неруйнівного контролю (EN 4179, IDT)».</w:t>
      </w:r>
    </w:p>
    <w:p w:rsidR="00E60831" w:rsidRPr="00E01D94" w:rsidRDefault="00E60831" w:rsidP="00E6083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DD49C9">
        <w:rPr>
          <w:rFonts w:ascii="Times New Roman" w:hAnsi="Times New Roman"/>
          <w:b/>
          <w:sz w:val="28"/>
          <w:szCs w:val="28"/>
          <w:lang w:val="uk-UA"/>
        </w:rPr>
        <w:t>Серія журналу</w:t>
      </w:r>
      <w:r w:rsidRPr="00E01D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60831" w:rsidRDefault="00E60831" w:rsidP="00E608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067">
        <w:rPr>
          <w:rFonts w:ascii="Times New Roman" w:hAnsi="Times New Roman" w:cs="Times New Roman"/>
          <w:sz w:val="28"/>
          <w:szCs w:val="28"/>
          <w:lang w:val="uk-UA"/>
        </w:rPr>
        <w:t>Стратегічне управління, управління портфелями,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06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ами та проектами</w:t>
      </w:r>
    </w:p>
    <w:p w:rsidR="00E60831" w:rsidRPr="00DD49C9" w:rsidRDefault="00E60831" w:rsidP="00E6083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01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D49C9">
        <w:rPr>
          <w:rFonts w:ascii="Times New Roman" w:hAnsi="Times New Roman"/>
          <w:b/>
          <w:sz w:val="28"/>
          <w:szCs w:val="28"/>
          <w:lang w:val="uk-UA"/>
        </w:rPr>
        <w:t>Спеціальність/галузь знань</w:t>
      </w:r>
    </w:p>
    <w:p w:rsidR="00E60831" w:rsidRDefault="00E60831" w:rsidP="00E6083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D49C9">
        <w:rPr>
          <w:rFonts w:ascii="Times New Roman" w:hAnsi="Times New Roman"/>
          <w:sz w:val="28"/>
          <w:szCs w:val="28"/>
          <w:lang w:val="uk-UA"/>
        </w:rPr>
        <w:t>Педагогіка, освіта</w:t>
      </w:r>
    </w:p>
    <w:p w:rsidR="00E60831" w:rsidRDefault="00E60831" w:rsidP="00E6083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831" w:rsidRDefault="00E60831" w:rsidP="00E6083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831" w:rsidRDefault="00E60831" w:rsidP="00E6083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831" w:rsidRPr="00DD49C9" w:rsidRDefault="00E60831" w:rsidP="00E6083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7</w:t>
      </w:r>
      <w:r w:rsidRPr="00E01D9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DD49C9">
        <w:rPr>
          <w:rFonts w:ascii="Times New Roman" w:hAnsi="Times New Roman"/>
          <w:b/>
          <w:sz w:val="28"/>
          <w:szCs w:val="28"/>
          <w:lang w:val="uk-UA"/>
        </w:rPr>
        <w:t>Опис файлу</w:t>
      </w:r>
    </w:p>
    <w:p w:rsidR="00E60831" w:rsidRPr="0040270A" w:rsidRDefault="00E60831" w:rsidP="00E60831">
      <w:pPr>
        <w:spacing w:before="252"/>
        <w:ind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1"/>
          <w:w w:val="105"/>
          <w:sz w:val="28"/>
          <w:szCs w:val="28"/>
          <w:lang w:val="uk-UA"/>
        </w:rPr>
        <w:t xml:space="preserve">Сьогодні, </w:t>
      </w:r>
      <w:r w:rsidRPr="0040270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в Україні </w:t>
      </w:r>
      <w:r w:rsidRPr="0040270A">
        <w:rPr>
          <w:rFonts w:ascii="Times New Roman" w:hAnsi="Times New Roman" w:cs="Times New Roman"/>
          <w:color w:val="000000"/>
          <w:spacing w:val="11"/>
          <w:w w:val="110"/>
          <w:sz w:val="28"/>
          <w:szCs w:val="28"/>
          <w:lang w:val="uk-UA"/>
        </w:rPr>
        <w:t xml:space="preserve">значна увага </w:t>
      </w:r>
      <w:r w:rsidRPr="0040270A">
        <w:rPr>
          <w:rFonts w:ascii="Times New Roman" w:hAnsi="Times New Roman" w:cs="Times New Roman"/>
          <w:color w:val="000000"/>
          <w:spacing w:val="11"/>
          <w:w w:val="105"/>
          <w:sz w:val="28"/>
          <w:szCs w:val="28"/>
          <w:lang w:val="uk-UA"/>
        </w:rPr>
        <w:t xml:space="preserve">приділяються </w:t>
      </w:r>
      <w:r w:rsidRPr="0040270A">
        <w:rPr>
          <w:rFonts w:ascii="Times New Roman" w:hAnsi="Times New Roman" w:cs="Times New Roman"/>
          <w:color w:val="000000"/>
          <w:spacing w:val="11"/>
          <w:w w:val="110"/>
          <w:sz w:val="28"/>
          <w:szCs w:val="28"/>
          <w:lang w:val="uk-UA"/>
        </w:rPr>
        <w:t>питанням</w:t>
      </w:r>
      <w:r w:rsidRPr="0040270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  <w:lang w:val="uk-UA"/>
        </w:rPr>
        <w:t xml:space="preserve">реформування </w:t>
      </w:r>
      <w:r w:rsidRPr="0040270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підходів щодо освіти, включно </w:t>
      </w:r>
      <w:r w:rsidRPr="0040270A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  <w:lang w:val="uk-UA"/>
        </w:rPr>
        <w:t xml:space="preserve">з </w:t>
      </w:r>
      <w:r w:rsidRPr="0040270A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  <w:lang w:val="uk-UA"/>
        </w:rPr>
        <w:t>рамковими поняттями,</w:t>
      </w:r>
      <w:r w:rsidRPr="0040270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17"/>
          <w:w w:val="110"/>
          <w:sz w:val="28"/>
          <w:szCs w:val="28"/>
          <w:lang w:val="uk-UA"/>
        </w:rPr>
        <w:t xml:space="preserve">які визначають її </w:t>
      </w:r>
      <w:r w:rsidRPr="0040270A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форму та </w:t>
      </w:r>
      <w:r w:rsidRPr="0040270A">
        <w:rPr>
          <w:rFonts w:ascii="Times New Roman" w:hAnsi="Times New Roman" w:cs="Times New Roman"/>
          <w:color w:val="000000"/>
          <w:spacing w:val="17"/>
          <w:w w:val="105"/>
          <w:sz w:val="28"/>
          <w:szCs w:val="28"/>
          <w:lang w:val="uk-UA"/>
        </w:rPr>
        <w:t xml:space="preserve">зміст. Так серед інших </w:t>
      </w:r>
      <w:r w:rsidRPr="0040270A">
        <w:rPr>
          <w:rFonts w:ascii="Times New Roman" w:hAnsi="Times New Roman" w:cs="Times New Roman"/>
          <w:color w:val="000000"/>
          <w:spacing w:val="17"/>
          <w:w w:val="110"/>
          <w:sz w:val="28"/>
          <w:szCs w:val="28"/>
          <w:lang w:val="uk-UA"/>
        </w:rPr>
        <w:t>рамкових</w:t>
      </w:r>
      <w:r w:rsidRPr="0040270A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7"/>
          <w:w w:val="110"/>
          <w:sz w:val="28"/>
          <w:szCs w:val="28"/>
          <w:lang w:val="uk-UA"/>
        </w:rPr>
        <w:t xml:space="preserve">документів можна </w:t>
      </w:r>
      <w:r w:rsidRPr="0040270A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  <w:lang w:val="uk-UA"/>
        </w:rPr>
        <w:t xml:space="preserve">назвати Програму економічних </w:t>
      </w:r>
      <w:r w:rsidRPr="0040270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реформ на 2010- 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2014 </w:t>
      </w:r>
      <w:r w:rsidRPr="0040270A">
        <w:rPr>
          <w:rFonts w:ascii="Times New Roman" w:hAnsi="Times New Roman" w:cs="Times New Roman"/>
          <w:color w:val="000000"/>
          <w:spacing w:val="5"/>
          <w:w w:val="110"/>
          <w:sz w:val="28"/>
          <w:szCs w:val="28"/>
          <w:lang w:val="uk-UA"/>
        </w:rPr>
        <w:t xml:space="preserve">роки 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«3аможне суспільство, </w:t>
      </w:r>
      <w:r w:rsidRPr="0040270A">
        <w:rPr>
          <w:rFonts w:ascii="Times New Roman" w:hAnsi="Times New Roman" w:cs="Times New Roman"/>
          <w:color w:val="000000"/>
          <w:spacing w:val="5"/>
          <w:w w:val="110"/>
          <w:sz w:val="28"/>
          <w:szCs w:val="28"/>
          <w:lang w:val="uk-UA"/>
        </w:rPr>
        <w:t xml:space="preserve">конкурентоспроможна </w:t>
      </w:r>
      <w:r w:rsidRPr="0040270A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  <w:lang w:val="uk-UA"/>
        </w:rPr>
        <w:t>економіка,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  <w:lang w:val="uk-UA"/>
        </w:rPr>
        <w:t xml:space="preserve">ефективна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держава» Президента </w:t>
      </w:r>
      <w:r w:rsidRPr="0040270A">
        <w:rPr>
          <w:rFonts w:ascii="Times New Roman" w:hAnsi="Times New Roman" w:cs="Times New Roman"/>
          <w:color w:val="000000"/>
          <w:spacing w:val="8"/>
          <w:w w:val="110"/>
          <w:sz w:val="28"/>
          <w:szCs w:val="28"/>
          <w:lang w:val="uk-UA"/>
        </w:rPr>
        <w:t xml:space="preserve">України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(див. </w:t>
      </w:r>
      <w:r w:rsidRPr="0040270A">
        <w:rPr>
          <w:rFonts w:ascii="Times New Roman" w:hAnsi="Times New Roman" w:cs="Times New Roman"/>
          <w:color w:val="000000"/>
          <w:spacing w:val="8"/>
          <w:w w:val="110"/>
          <w:sz w:val="28"/>
          <w:szCs w:val="28"/>
          <w:lang w:val="uk-UA"/>
        </w:rPr>
        <w:t xml:space="preserve">Розділ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«Підвищення </w:t>
      </w:r>
      <w:r w:rsidRPr="0040270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стандартів життя») [1], новий проект 3акону </w:t>
      </w:r>
      <w:r w:rsidRPr="0040270A">
        <w:rPr>
          <w:rFonts w:ascii="Times New Roman" w:hAnsi="Times New Roman" w:cs="Times New Roman"/>
          <w:color w:val="000000"/>
          <w:spacing w:val="11"/>
          <w:w w:val="105"/>
          <w:sz w:val="28"/>
          <w:szCs w:val="28"/>
          <w:lang w:val="uk-UA"/>
        </w:rPr>
        <w:t xml:space="preserve">України </w:t>
      </w:r>
      <w:r w:rsidRPr="0040270A">
        <w:rPr>
          <w:rFonts w:ascii="Times New Roman" w:hAnsi="Times New Roman" w:cs="Times New Roman"/>
          <w:color w:val="000000"/>
          <w:spacing w:val="11"/>
          <w:w w:val="110"/>
          <w:sz w:val="28"/>
          <w:szCs w:val="28"/>
          <w:lang w:val="uk-UA"/>
        </w:rPr>
        <w:t>«Про вищу</w:t>
      </w:r>
      <w:r w:rsidRPr="0040270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освіту» [2]. Серед аналітичних та методичних матеріалів слід </w:t>
      </w:r>
      <w:r w:rsidRPr="0040270A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відмітити проект Міжнародного центру перспективних </w:t>
      </w:r>
      <w:r w:rsidRPr="0040270A">
        <w:rPr>
          <w:rFonts w:ascii="Times New Roman" w:hAnsi="Times New Roman" w:cs="Times New Roman"/>
          <w:color w:val="000000"/>
          <w:spacing w:val="12"/>
          <w:w w:val="110"/>
          <w:sz w:val="28"/>
          <w:szCs w:val="28"/>
          <w:lang w:val="uk-UA"/>
        </w:rPr>
        <w:t>досліджень</w:t>
      </w:r>
      <w:r w:rsidRPr="0040270A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(далі МЦПД) «Освітня реформа: зв'язок </w:t>
      </w:r>
      <w:r w:rsidRPr="0040270A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  <w:lang w:val="uk-UA"/>
        </w:rPr>
        <w:t xml:space="preserve">освіти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та </w:t>
      </w:r>
      <w:r w:rsidRPr="0040270A">
        <w:rPr>
          <w:rFonts w:ascii="Times New Roman" w:hAnsi="Times New Roman" w:cs="Times New Roman"/>
          <w:color w:val="000000"/>
          <w:spacing w:val="8"/>
          <w:w w:val="110"/>
          <w:sz w:val="28"/>
          <w:szCs w:val="28"/>
          <w:lang w:val="uk-UA"/>
        </w:rPr>
        <w:t xml:space="preserve">ринку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праці» [3], 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«Стандарти і </w:t>
      </w:r>
      <w:r w:rsidRPr="0040270A">
        <w:rPr>
          <w:rFonts w:ascii="Times New Roman" w:hAnsi="Times New Roman" w:cs="Times New Roman"/>
          <w:color w:val="000000"/>
          <w:w w:val="110"/>
          <w:sz w:val="28"/>
          <w:szCs w:val="28"/>
          <w:lang w:val="uk-UA"/>
        </w:rPr>
        <w:t xml:space="preserve">рекомендації щодо </w:t>
      </w:r>
      <w:r w:rsidRPr="0040270A">
        <w:rPr>
          <w:rFonts w:ascii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забезпечення 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якості в </w:t>
      </w:r>
      <w:r w:rsidRPr="0040270A">
        <w:rPr>
          <w:rFonts w:ascii="Times New Roman" w:hAnsi="Times New Roman" w:cs="Times New Roman"/>
          <w:color w:val="000000"/>
          <w:w w:val="110"/>
          <w:sz w:val="28"/>
          <w:szCs w:val="28"/>
          <w:lang w:val="uk-UA"/>
        </w:rPr>
        <w:t>Європейському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просторі вищої освіти» </w:t>
      </w:r>
      <w:r w:rsidRPr="0040270A">
        <w:rPr>
          <w:rFonts w:ascii="Times New Roman" w:hAnsi="Times New Roman" w:cs="Times New Roman"/>
          <w:color w:val="000000"/>
          <w:spacing w:val="5"/>
          <w:w w:val="110"/>
          <w:sz w:val="28"/>
          <w:szCs w:val="28"/>
          <w:lang w:val="uk-UA"/>
        </w:rPr>
        <w:t xml:space="preserve">Європейської асоціацій із 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забезпечення якості </w:t>
      </w:r>
      <w:r w:rsidRPr="0040270A">
        <w:rPr>
          <w:rFonts w:ascii="Times New Roman" w:hAnsi="Times New Roman" w:cs="Times New Roman"/>
          <w:color w:val="000000"/>
          <w:spacing w:val="16"/>
          <w:w w:val="110"/>
          <w:sz w:val="28"/>
          <w:szCs w:val="28"/>
          <w:lang w:val="uk-UA"/>
        </w:rPr>
        <w:t xml:space="preserve">вищої освіти </w:t>
      </w:r>
      <w:r w:rsidRPr="0040270A">
        <w:rPr>
          <w:rFonts w:ascii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(ENQA) [4] тощо. Крім того, слід не забувати, що </w:t>
      </w:r>
      <w:r w:rsidRPr="0040270A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  <w:lang w:val="uk-UA"/>
        </w:rPr>
        <w:t xml:space="preserve">незалежно від реформування </w:t>
      </w:r>
      <w:r w:rsidRPr="0040270A">
        <w:rPr>
          <w:rFonts w:ascii="Times New Roman" w:hAnsi="Times New Roman" w:cs="Times New Roman"/>
          <w:color w:val="000000"/>
          <w:spacing w:val="9"/>
          <w:w w:val="110"/>
          <w:sz w:val="28"/>
          <w:szCs w:val="28"/>
          <w:lang w:val="uk-UA"/>
        </w:rPr>
        <w:t xml:space="preserve">освітньої </w:t>
      </w:r>
      <w:r w:rsidRPr="0040270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галузі в країні в </w:t>
      </w:r>
      <w:r w:rsidRPr="0040270A">
        <w:rPr>
          <w:rFonts w:ascii="Times New Roman" w:hAnsi="Times New Roman" w:cs="Times New Roman"/>
          <w:color w:val="000000"/>
          <w:spacing w:val="9"/>
          <w:w w:val="110"/>
          <w:sz w:val="28"/>
          <w:szCs w:val="28"/>
          <w:lang w:val="uk-UA"/>
        </w:rPr>
        <w:t>ринкову</w:t>
      </w:r>
      <w:r w:rsidRPr="0040270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дійсність вже </w:t>
      </w:r>
      <w:r w:rsidRPr="0040270A">
        <w:rPr>
          <w:rFonts w:ascii="Times New Roman" w:hAnsi="Times New Roman" w:cs="Times New Roman"/>
          <w:color w:val="000000"/>
          <w:spacing w:val="10"/>
          <w:w w:val="110"/>
          <w:sz w:val="28"/>
          <w:szCs w:val="28"/>
          <w:lang w:val="uk-UA"/>
        </w:rPr>
        <w:t xml:space="preserve">активно впроваджуються вимоги 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щодо підготовки,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атестації та сертифікації персоналу </w:t>
      </w:r>
      <w:r w:rsidRPr="0040270A">
        <w:rPr>
          <w:rFonts w:ascii="Times New Roman" w:hAnsi="Times New Roman" w:cs="Times New Roman"/>
          <w:color w:val="000000"/>
          <w:spacing w:val="8"/>
          <w:w w:val="110"/>
          <w:sz w:val="28"/>
          <w:szCs w:val="28"/>
          <w:lang w:val="uk-UA"/>
        </w:rPr>
        <w:t xml:space="preserve">через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процедури </w:t>
      </w:r>
      <w:r w:rsidRPr="0040270A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  <w:lang w:val="uk-UA"/>
        </w:rPr>
        <w:t>учасників ринку.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16"/>
          <w:w w:val="105"/>
          <w:sz w:val="28"/>
          <w:szCs w:val="28"/>
          <w:lang w:val="uk-UA"/>
        </w:rPr>
        <w:t xml:space="preserve">3 такими </w:t>
      </w:r>
      <w:r w:rsidRPr="0040270A">
        <w:rPr>
          <w:rFonts w:ascii="Times New Roman" w:hAnsi="Times New Roman" w:cs="Times New Roman"/>
          <w:color w:val="000000"/>
          <w:spacing w:val="16"/>
          <w:w w:val="110"/>
          <w:sz w:val="28"/>
          <w:szCs w:val="28"/>
          <w:lang w:val="uk-UA"/>
        </w:rPr>
        <w:t xml:space="preserve">процедурами можна ознайомитись </w:t>
      </w:r>
      <w:r w:rsidRPr="0040270A">
        <w:rPr>
          <w:rFonts w:ascii="Times New Roman" w:hAnsi="Times New Roman" w:cs="Times New Roman"/>
          <w:color w:val="000000"/>
          <w:spacing w:val="16"/>
          <w:w w:val="105"/>
          <w:sz w:val="28"/>
          <w:szCs w:val="28"/>
          <w:lang w:val="uk-UA"/>
        </w:rPr>
        <w:t>за документами</w:t>
      </w:r>
      <w:r w:rsidRPr="0040270A">
        <w:rPr>
          <w:rFonts w:ascii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17"/>
          <w:w w:val="105"/>
          <w:sz w:val="28"/>
          <w:szCs w:val="28"/>
          <w:lang w:val="uk-UA"/>
        </w:rPr>
        <w:t xml:space="preserve">Національного </w:t>
      </w:r>
      <w:r w:rsidRPr="0040270A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агентства </w:t>
      </w:r>
      <w:r w:rsidRPr="0040270A">
        <w:rPr>
          <w:rFonts w:ascii="Times New Roman" w:hAnsi="Times New Roman" w:cs="Times New Roman"/>
          <w:color w:val="000000"/>
          <w:spacing w:val="17"/>
          <w:w w:val="110"/>
          <w:sz w:val="28"/>
          <w:szCs w:val="28"/>
          <w:lang w:val="uk-UA"/>
        </w:rPr>
        <w:t xml:space="preserve">з </w:t>
      </w:r>
      <w:r w:rsidRPr="0040270A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акредитації </w:t>
      </w:r>
      <w:r w:rsidRPr="0040270A">
        <w:rPr>
          <w:rFonts w:ascii="Times New Roman" w:hAnsi="Times New Roman" w:cs="Times New Roman"/>
          <w:color w:val="000000"/>
          <w:spacing w:val="17"/>
          <w:w w:val="110"/>
          <w:sz w:val="28"/>
          <w:szCs w:val="28"/>
          <w:lang w:val="uk-UA"/>
        </w:rPr>
        <w:t xml:space="preserve">України </w:t>
      </w:r>
      <w:r w:rsidRPr="0040270A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та, наприклад, </w:t>
      </w:r>
      <w:r w:rsidRPr="0040270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стандартами ДСТУ EN 473 «Неруйнівний </w:t>
      </w:r>
      <w:r w:rsidRPr="0040270A">
        <w:rPr>
          <w:rFonts w:ascii="Times New Roman" w:hAnsi="Times New Roman" w:cs="Times New Roman"/>
          <w:color w:val="000000"/>
          <w:spacing w:val="11"/>
          <w:w w:val="110"/>
          <w:sz w:val="28"/>
          <w:szCs w:val="28"/>
          <w:lang w:val="uk-UA"/>
        </w:rPr>
        <w:t xml:space="preserve">контроль. </w:t>
      </w:r>
      <w:r w:rsidRPr="0040270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Кваліфікація і </w:t>
      </w:r>
      <w:r w:rsidRPr="0040270A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сертифікація персоналу в галузі неруйнівного </w:t>
      </w:r>
      <w:r w:rsidRPr="0040270A">
        <w:rPr>
          <w:rFonts w:ascii="Times New Roman" w:hAnsi="Times New Roman" w:cs="Times New Roman"/>
          <w:color w:val="000000"/>
          <w:spacing w:val="12"/>
          <w:w w:val="110"/>
          <w:sz w:val="28"/>
          <w:szCs w:val="28"/>
          <w:lang w:val="uk-UA"/>
        </w:rPr>
        <w:t xml:space="preserve">контролю </w:t>
      </w:r>
      <w:r w:rsidRPr="0040270A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(EN є73, </w:t>
      </w:r>
      <w:r w:rsidRPr="0040270A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IDT).&gt; [5], а також </w:t>
      </w:r>
      <w:proofErr w:type="spellStart"/>
      <w:r w:rsidRPr="0040270A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>прДСТУ</w:t>
      </w:r>
      <w:proofErr w:type="spellEnd"/>
      <w:r w:rsidRPr="0040270A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EN 4179 </w:t>
      </w:r>
      <w:r w:rsidRPr="0040270A">
        <w:rPr>
          <w:rFonts w:ascii="Times New Roman" w:hAnsi="Times New Roman" w:cs="Times New Roman"/>
          <w:color w:val="000000"/>
          <w:spacing w:val="18"/>
          <w:w w:val="105"/>
          <w:sz w:val="28"/>
          <w:szCs w:val="28"/>
          <w:lang w:val="uk-UA"/>
        </w:rPr>
        <w:t>«Авіація і космонавтика.</w:t>
      </w:r>
      <w:r w:rsidRPr="0040270A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Кваліфікаційні </w:t>
      </w:r>
      <w:r w:rsidRPr="0040270A">
        <w:rPr>
          <w:rFonts w:ascii="Times New Roman" w:hAnsi="Times New Roman" w:cs="Times New Roman"/>
          <w:color w:val="000000"/>
          <w:spacing w:val="11"/>
          <w:w w:val="110"/>
          <w:sz w:val="28"/>
          <w:szCs w:val="28"/>
          <w:lang w:val="uk-UA"/>
        </w:rPr>
        <w:t xml:space="preserve">вимоги і сертифікація </w:t>
      </w:r>
      <w:r w:rsidRPr="0040270A">
        <w:rPr>
          <w:rFonts w:ascii="Times New Roman" w:hAnsi="Times New Roman" w:cs="Times New Roman"/>
          <w:color w:val="000000"/>
          <w:spacing w:val="11"/>
          <w:w w:val="105"/>
          <w:sz w:val="28"/>
          <w:szCs w:val="28"/>
          <w:lang w:val="uk-UA"/>
        </w:rPr>
        <w:t>персоналу з неруйнівного</w:t>
      </w:r>
      <w:r w:rsidRPr="0040270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контролю (EN 4179, IDT)» [6].</w:t>
      </w:r>
    </w:p>
    <w:p w:rsidR="00E60831" w:rsidRPr="0040270A" w:rsidRDefault="00E60831" w:rsidP="00E60831">
      <w:pPr>
        <w:spacing w:before="180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3гідно </w:t>
      </w:r>
      <w:r w:rsidRPr="0040270A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  <w:lang w:val="uk-UA"/>
        </w:rPr>
        <w:t xml:space="preserve">з[1, </w:t>
      </w:r>
      <w:r w:rsidRPr="0040270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с. 30], основними проблемами </w:t>
      </w:r>
      <w:r w:rsidRPr="0040270A">
        <w:rPr>
          <w:rFonts w:ascii="Times New Roman" w:hAnsi="Times New Roman" w:cs="Times New Roman"/>
          <w:color w:val="000000"/>
          <w:spacing w:val="7"/>
          <w:w w:val="110"/>
          <w:sz w:val="28"/>
          <w:szCs w:val="28"/>
          <w:lang w:val="uk-UA"/>
        </w:rPr>
        <w:t xml:space="preserve">щодо освіти </w:t>
      </w:r>
      <w:r w:rsidRPr="0040270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е:</w:t>
      </w:r>
    </w:p>
    <w:p w:rsidR="00E60831" w:rsidRPr="0040270A" w:rsidRDefault="00E60831" w:rsidP="00E60831">
      <w:pPr>
        <w:numPr>
          <w:ilvl w:val="0"/>
          <w:numId w:val="1"/>
        </w:numPr>
        <w:tabs>
          <w:tab w:val="clear" w:pos="288"/>
          <w:tab w:val="decimal" w:pos="432"/>
        </w:tabs>
        <w:spacing w:after="0" w:line="240" w:lineRule="auto"/>
        <w:ind w:left="432" w:hanging="288"/>
        <w:jc w:val="both"/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  <w:lang w:val="uk-UA"/>
        </w:rPr>
        <w:t>невідповідність якості освіти сучасним вимогам (</w:t>
      </w:r>
      <w:proofErr w:type="spellStart"/>
      <w:r w:rsidRPr="0040270A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  <w:lang w:val="uk-UA"/>
        </w:rPr>
        <w:t>відмічено</w:t>
      </w:r>
      <w:proofErr w:type="spellEnd"/>
      <w:r w:rsidRPr="0040270A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  <w:lang w:val="uk-UA"/>
        </w:rPr>
        <w:t xml:space="preserve"> факт,</w:t>
      </w: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7"/>
          <w:w w:val="110"/>
          <w:sz w:val="28"/>
          <w:szCs w:val="28"/>
          <w:lang w:val="uk-UA"/>
        </w:rPr>
        <w:t xml:space="preserve">що «... </w:t>
      </w:r>
      <w:r w:rsidRPr="0040270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близько 20 % роботодавців </w:t>
      </w:r>
      <w:r w:rsidRPr="0040270A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  <w:lang w:val="uk-UA"/>
        </w:rPr>
        <w:t xml:space="preserve">указують </w:t>
      </w:r>
      <w:r w:rsidRPr="0040270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на невідповідність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кваліфікації працівників займаній посаді...»;</w:t>
      </w:r>
    </w:p>
    <w:p w:rsidR="00E60831" w:rsidRPr="0040270A" w:rsidRDefault="00E60831" w:rsidP="00E60831">
      <w:pPr>
        <w:numPr>
          <w:ilvl w:val="0"/>
          <w:numId w:val="1"/>
        </w:numPr>
        <w:tabs>
          <w:tab w:val="clear" w:pos="288"/>
          <w:tab w:val="decimal" w:pos="432"/>
        </w:tabs>
        <w:spacing w:before="72" w:after="0" w:line="240" w:lineRule="auto"/>
        <w:ind w:left="432" w:hanging="288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недостатня доступність </w:t>
      </w:r>
      <w:r w:rsidRPr="0040270A">
        <w:rPr>
          <w:rFonts w:ascii="Times New Roman" w:hAnsi="Times New Roman" w:cs="Times New Roman"/>
          <w:color w:val="000000"/>
          <w:spacing w:val="16"/>
          <w:w w:val="110"/>
          <w:sz w:val="28"/>
          <w:szCs w:val="28"/>
          <w:lang w:val="uk-UA"/>
        </w:rPr>
        <w:t>освіти;</w:t>
      </w:r>
    </w:p>
    <w:p w:rsidR="00E60831" w:rsidRPr="0040270A" w:rsidRDefault="00E60831" w:rsidP="00E60831">
      <w:pPr>
        <w:numPr>
          <w:ilvl w:val="0"/>
          <w:numId w:val="1"/>
        </w:numPr>
        <w:tabs>
          <w:tab w:val="clear" w:pos="288"/>
          <w:tab w:val="decimal" w:pos="432"/>
        </w:tabs>
        <w:spacing w:after="0" w:line="240" w:lineRule="auto"/>
        <w:ind w:left="432" w:hanging="288"/>
        <w:rPr>
          <w:rFonts w:ascii="Times New Roman" w:hAnsi="Times New Roman" w:cs="Times New Roman"/>
          <w:color w:val="000000"/>
          <w:spacing w:val="7"/>
          <w:w w:val="1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7"/>
          <w:w w:val="110"/>
          <w:sz w:val="28"/>
          <w:szCs w:val="28"/>
          <w:lang w:val="uk-UA"/>
        </w:rPr>
        <w:t xml:space="preserve">неефективність </w:t>
      </w:r>
      <w:r w:rsidRPr="0040270A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  <w:lang w:val="uk-UA"/>
        </w:rPr>
        <w:t xml:space="preserve">механізму державного фінансування </w:t>
      </w:r>
      <w:r w:rsidRPr="0040270A">
        <w:rPr>
          <w:rFonts w:ascii="Times New Roman" w:hAnsi="Times New Roman" w:cs="Times New Roman"/>
          <w:color w:val="000000"/>
          <w:spacing w:val="7"/>
          <w:w w:val="110"/>
          <w:sz w:val="28"/>
          <w:szCs w:val="28"/>
          <w:lang w:val="uk-UA"/>
        </w:rPr>
        <w:t>системи</w:t>
      </w:r>
      <w:r w:rsidRPr="0040270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w w:val="110"/>
          <w:sz w:val="28"/>
          <w:szCs w:val="28"/>
          <w:lang w:val="uk-UA"/>
        </w:rPr>
        <w:t>освіти;</w:t>
      </w:r>
    </w:p>
    <w:p w:rsidR="00E60831" w:rsidRPr="0040270A" w:rsidRDefault="00E60831" w:rsidP="00E60831">
      <w:pPr>
        <w:numPr>
          <w:ilvl w:val="0"/>
          <w:numId w:val="1"/>
        </w:numPr>
        <w:tabs>
          <w:tab w:val="clear" w:pos="288"/>
          <w:tab w:val="decimal" w:pos="432"/>
        </w:tabs>
        <w:spacing w:before="36" w:after="0" w:line="240" w:lineRule="auto"/>
        <w:ind w:left="432" w:hanging="288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наростання диспропорцій між підготовкою фахівців і </w:t>
      </w:r>
      <w:r w:rsidRPr="0040270A">
        <w:rPr>
          <w:rFonts w:ascii="Times New Roman" w:hAnsi="Times New Roman" w:cs="Times New Roman"/>
          <w:color w:val="000000"/>
          <w:spacing w:val="8"/>
          <w:w w:val="110"/>
          <w:sz w:val="28"/>
          <w:szCs w:val="28"/>
          <w:lang w:val="uk-UA"/>
        </w:rPr>
        <w:t xml:space="preserve">попитом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на </w:t>
      </w:r>
      <w:r w:rsidRPr="0040270A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них на </w:t>
      </w:r>
      <w:r w:rsidRPr="0040270A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  <w:lang w:val="uk-UA"/>
        </w:rPr>
        <w:t xml:space="preserve">ринку </w:t>
      </w:r>
      <w:r w:rsidRPr="0040270A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праці;</w:t>
      </w:r>
    </w:p>
    <w:p w:rsidR="00E60831" w:rsidRPr="0040270A" w:rsidRDefault="00E60831" w:rsidP="00E60831">
      <w:pPr>
        <w:numPr>
          <w:ilvl w:val="0"/>
          <w:numId w:val="1"/>
        </w:numPr>
        <w:tabs>
          <w:tab w:val="clear" w:pos="288"/>
          <w:tab w:val="decimal" w:pos="432"/>
        </w:tabs>
        <w:spacing w:before="36" w:after="0" w:line="240" w:lineRule="auto"/>
        <w:ind w:left="432" w:hanging="288"/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відсутність </w:t>
      </w:r>
      <w:r w:rsidRPr="0040270A">
        <w:rPr>
          <w:rFonts w:ascii="Times New Roman" w:hAnsi="Times New Roman" w:cs="Times New Roman"/>
          <w:color w:val="000000"/>
          <w:spacing w:val="11"/>
          <w:w w:val="110"/>
          <w:sz w:val="28"/>
          <w:szCs w:val="28"/>
          <w:lang w:val="uk-UA"/>
        </w:rPr>
        <w:t xml:space="preserve">єдиного освітнього </w:t>
      </w:r>
      <w:r w:rsidRPr="0040270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простору.</w:t>
      </w:r>
    </w:p>
    <w:p w:rsidR="00E60831" w:rsidRPr="0040270A" w:rsidRDefault="00E60831" w:rsidP="00E60831">
      <w:pPr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3 </w:t>
      </w:r>
      <w:r w:rsidRPr="0040270A">
        <w:rPr>
          <w:rFonts w:ascii="Times New Roman" w:hAnsi="Times New Roman" w:cs="Times New Roman"/>
          <w:color w:val="000000"/>
          <w:spacing w:val="5"/>
          <w:w w:val="110"/>
          <w:sz w:val="28"/>
          <w:szCs w:val="28"/>
          <w:lang w:val="uk-UA"/>
        </w:rPr>
        <w:t xml:space="preserve">зазначених 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про6лем дві стосуються </w:t>
      </w:r>
      <w:r w:rsidRPr="0040270A">
        <w:rPr>
          <w:rFonts w:ascii="Times New Roman" w:hAnsi="Times New Roman" w:cs="Times New Roman"/>
          <w:color w:val="000000"/>
          <w:spacing w:val="5"/>
          <w:w w:val="110"/>
          <w:sz w:val="28"/>
          <w:szCs w:val="28"/>
          <w:lang w:val="uk-UA"/>
        </w:rPr>
        <w:t xml:space="preserve">змісту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та ефективност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і </w:t>
      </w:r>
      <w:r w:rsidRPr="0040270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освіти, відповідності </w:t>
      </w:r>
      <w:r w:rsidRPr="0040270A">
        <w:rPr>
          <w:rFonts w:ascii="Times New Roman" w:hAnsi="Times New Roman" w:cs="Times New Roman"/>
          <w:color w:val="000000"/>
          <w:spacing w:val="9"/>
          <w:w w:val="110"/>
          <w:sz w:val="28"/>
          <w:szCs w:val="28"/>
          <w:lang w:val="uk-UA"/>
        </w:rPr>
        <w:t xml:space="preserve">результатів </w:t>
      </w:r>
      <w:r w:rsidRPr="0040270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надання освітніх послуг </w:t>
      </w:r>
      <w:r w:rsidRPr="0040270A">
        <w:rPr>
          <w:rFonts w:ascii="Times New Roman" w:hAnsi="Times New Roman" w:cs="Times New Roman"/>
          <w:color w:val="000000"/>
          <w:spacing w:val="9"/>
          <w:w w:val="110"/>
          <w:sz w:val="28"/>
          <w:szCs w:val="28"/>
          <w:lang w:val="uk-UA"/>
        </w:rPr>
        <w:t>запитам</w:t>
      </w:r>
      <w:r w:rsidRPr="0040270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  <w:lang w:val="uk-UA"/>
        </w:rPr>
        <w:t xml:space="preserve">споживачів.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У </w:t>
      </w:r>
      <w:r w:rsidRPr="0040270A">
        <w:rPr>
          <w:rFonts w:ascii="Times New Roman" w:hAnsi="Times New Roman" w:cs="Times New Roman"/>
          <w:color w:val="000000"/>
          <w:spacing w:val="8"/>
          <w:w w:val="110"/>
          <w:sz w:val="28"/>
          <w:szCs w:val="28"/>
          <w:lang w:val="uk-UA"/>
        </w:rPr>
        <w:t xml:space="preserve">цьому ж документі відзначаються,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як </w:t>
      </w:r>
      <w:r w:rsidRPr="0040270A">
        <w:rPr>
          <w:rFonts w:ascii="Times New Roman" w:hAnsi="Times New Roman" w:cs="Times New Roman"/>
          <w:color w:val="000000"/>
          <w:spacing w:val="8"/>
          <w:w w:val="110"/>
          <w:sz w:val="28"/>
          <w:szCs w:val="28"/>
          <w:lang w:val="uk-UA"/>
        </w:rPr>
        <w:t xml:space="preserve">причина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цих </w:t>
      </w:r>
      <w:r w:rsidRPr="0040270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проблем, </w:t>
      </w:r>
      <w:r w:rsidRPr="0040270A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  <w:lang w:val="uk-UA"/>
        </w:rPr>
        <w:t xml:space="preserve">неузгодженість </w:t>
      </w:r>
      <w:r w:rsidRPr="0040270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планування та </w:t>
      </w:r>
      <w:r w:rsidRPr="0040270A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  <w:lang w:val="uk-UA"/>
        </w:rPr>
        <w:t xml:space="preserve">організації </w:t>
      </w:r>
      <w:r w:rsidRPr="0040270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освітніх послуг </w:t>
      </w:r>
      <w:r w:rsidRPr="0040270A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  <w:lang w:val="uk-UA"/>
        </w:rPr>
        <w:t>з</w:t>
      </w:r>
      <w:r w:rsidRPr="0040270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  <w:lang w:val="uk-UA"/>
        </w:rPr>
        <w:t xml:space="preserve">вимогами ринку </w:t>
      </w: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праці та процесів всередині , </w:t>
      </w:r>
      <w:r w:rsidRPr="0040270A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  <w:lang w:val="uk-UA"/>
        </w:rPr>
        <w:t>скажімо, «освітянської</w:t>
      </w: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  <w:lang w:val="uk-UA"/>
        </w:rPr>
        <w:t xml:space="preserve">машини» України. </w:t>
      </w: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3а </w:t>
      </w:r>
      <w:r w:rsidRPr="0040270A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  <w:lang w:val="uk-UA"/>
        </w:rPr>
        <w:t xml:space="preserve">проектом </w:t>
      </w:r>
      <w:r w:rsidRPr="0040270A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  <w:lang w:val="uk-UA"/>
        </w:rPr>
        <w:t xml:space="preserve">МЦПД </w:t>
      </w: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серед проблем, що </w:t>
      </w:r>
      <w:r w:rsidRPr="0040270A">
        <w:rPr>
          <w:rFonts w:ascii="Times New Roman" w:hAnsi="Times New Roman" w:cs="Times New Roman"/>
          <w:color w:val="000000"/>
          <w:spacing w:val="2"/>
          <w:w w:val="110"/>
          <w:sz w:val="28"/>
          <w:szCs w:val="28"/>
          <w:lang w:val="uk-UA"/>
        </w:rPr>
        <w:t>стосуються</w:t>
      </w: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15"/>
          <w:w w:val="110"/>
          <w:sz w:val="28"/>
          <w:szCs w:val="28"/>
          <w:lang w:val="uk-UA"/>
        </w:rPr>
        <w:lastRenderedPageBreak/>
        <w:t xml:space="preserve">формування </w:t>
      </w:r>
      <w:r w:rsidRPr="0040270A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  <w:lang w:val="uk-UA"/>
        </w:rPr>
        <w:t xml:space="preserve">кваліфікаційної рамки та </w:t>
      </w:r>
      <w:r w:rsidRPr="0040270A">
        <w:rPr>
          <w:rFonts w:ascii="Times New Roman" w:hAnsi="Times New Roman" w:cs="Times New Roman"/>
          <w:color w:val="000000"/>
          <w:spacing w:val="15"/>
          <w:w w:val="110"/>
          <w:sz w:val="28"/>
          <w:szCs w:val="28"/>
          <w:lang w:val="uk-UA"/>
        </w:rPr>
        <w:t>атестації/сертифікації</w:t>
      </w:r>
      <w:r w:rsidRPr="0040270A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5"/>
          <w:w w:val="110"/>
          <w:sz w:val="28"/>
          <w:szCs w:val="28"/>
          <w:lang w:val="uk-UA"/>
        </w:rPr>
        <w:t xml:space="preserve">персоналу можна 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віднести: </w:t>
      </w:r>
      <w:r w:rsidRPr="0040270A">
        <w:rPr>
          <w:rFonts w:ascii="Times New Roman" w:hAnsi="Times New Roman" w:cs="Times New Roman"/>
          <w:color w:val="000000"/>
          <w:spacing w:val="5"/>
          <w:w w:val="110"/>
          <w:sz w:val="28"/>
          <w:szCs w:val="28"/>
          <w:lang w:val="uk-UA"/>
        </w:rPr>
        <w:t xml:space="preserve">формування 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кваліфікаційних </w:t>
      </w:r>
      <w:r w:rsidRPr="0040270A">
        <w:rPr>
          <w:rFonts w:ascii="Times New Roman" w:hAnsi="Times New Roman" w:cs="Times New Roman"/>
          <w:color w:val="000000"/>
          <w:spacing w:val="5"/>
          <w:w w:val="110"/>
          <w:sz w:val="28"/>
          <w:szCs w:val="28"/>
          <w:lang w:val="uk-UA"/>
        </w:rPr>
        <w:t xml:space="preserve">вимог 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без </w:t>
      </w:r>
      <w:r w:rsidRPr="0040270A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залучення роботодавців; відсутність </w:t>
      </w:r>
      <w:r w:rsidRPr="0040270A">
        <w:rPr>
          <w:rFonts w:ascii="Times New Roman" w:hAnsi="Times New Roman" w:cs="Times New Roman"/>
          <w:color w:val="000000"/>
          <w:spacing w:val="15"/>
          <w:w w:val="110"/>
          <w:sz w:val="28"/>
          <w:szCs w:val="28"/>
          <w:lang w:val="uk-UA"/>
        </w:rPr>
        <w:t>незалежного оцінювання</w:t>
      </w:r>
      <w:r w:rsidRPr="0040270A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9"/>
          <w:w w:val="110"/>
          <w:sz w:val="28"/>
          <w:szCs w:val="28"/>
          <w:lang w:val="uk-UA"/>
        </w:rPr>
        <w:t xml:space="preserve">отримання </w:t>
      </w:r>
      <w:r w:rsidRPr="0040270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кваліфікації, </w:t>
      </w:r>
      <w:r w:rsidRPr="0040270A">
        <w:rPr>
          <w:rFonts w:ascii="Times New Roman" w:hAnsi="Times New Roman" w:cs="Times New Roman"/>
          <w:color w:val="000000"/>
          <w:spacing w:val="9"/>
          <w:w w:val="110"/>
          <w:sz w:val="28"/>
          <w:szCs w:val="28"/>
          <w:lang w:val="uk-UA"/>
        </w:rPr>
        <w:t xml:space="preserve">низька </w:t>
      </w:r>
      <w:r w:rsidRPr="0040270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ефективність </w:t>
      </w:r>
      <w:r w:rsidRPr="0040270A">
        <w:rPr>
          <w:rFonts w:ascii="Times New Roman" w:hAnsi="Times New Roman" w:cs="Times New Roman"/>
          <w:color w:val="000000"/>
          <w:spacing w:val="9"/>
          <w:w w:val="110"/>
          <w:sz w:val="28"/>
          <w:szCs w:val="28"/>
          <w:lang w:val="uk-UA"/>
        </w:rPr>
        <w:t xml:space="preserve">моніторингу </w:t>
      </w:r>
      <w:r w:rsidRPr="0040270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потреб </w:t>
      </w:r>
      <w:r w:rsidRPr="0040270A">
        <w:rPr>
          <w:rFonts w:ascii="Times New Roman" w:hAnsi="Times New Roman" w:cs="Times New Roman"/>
          <w:color w:val="000000"/>
          <w:w w:val="110"/>
          <w:sz w:val="28"/>
          <w:szCs w:val="28"/>
          <w:lang w:val="uk-UA"/>
        </w:rPr>
        <w:t>ринку.</w:t>
      </w:r>
    </w:p>
    <w:p w:rsidR="00E60831" w:rsidRPr="0040270A" w:rsidRDefault="00E60831" w:rsidP="00E60831">
      <w:pPr>
        <w:spacing w:before="108" w:after="72" w:line="264" w:lineRule="auto"/>
        <w:ind w:firstLine="720"/>
        <w:jc w:val="both"/>
        <w:rPr>
          <w:rFonts w:ascii="Times New Roman" w:hAnsi="Times New Roman" w:cs="Times New Roman"/>
          <w:color w:val="000000"/>
          <w:spacing w:val="23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На наш погляд, ця ситуація </w:t>
      </w:r>
      <w:r w:rsidRPr="0040270A">
        <w:rPr>
          <w:rFonts w:ascii="Times New Roman" w:hAnsi="Times New Roman" w:cs="Times New Roman"/>
          <w:color w:val="000000"/>
          <w:spacing w:val="23"/>
          <w:w w:val="110"/>
          <w:sz w:val="28"/>
          <w:szCs w:val="28"/>
          <w:lang w:val="uk-UA"/>
        </w:rPr>
        <w:t>міцно «зацементована»</w:t>
      </w:r>
      <w:r w:rsidRPr="0040270A">
        <w:rPr>
          <w:rFonts w:ascii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10"/>
          <w:w w:val="110"/>
          <w:sz w:val="28"/>
          <w:szCs w:val="28"/>
          <w:lang w:val="uk-UA"/>
        </w:rPr>
        <w:t xml:space="preserve">функціональною структурою (підходом 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до формування) системи </w:t>
      </w:r>
      <w:r w:rsidRPr="0040270A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освіти. Свого роду недеформована функціональна система освіти </w:t>
      </w:r>
      <w:r w:rsidRPr="0040270A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  <w:lang w:val="uk-UA"/>
        </w:rPr>
        <w:t xml:space="preserve">«радянського» </w:t>
      </w:r>
      <w:r w:rsidRPr="0040270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типу, що має </w:t>
      </w:r>
      <w:r w:rsidRPr="0040270A">
        <w:rPr>
          <w:rFonts w:ascii="Times New Roman" w:hAnsi="Times New Roman" w:cs="Times New Roman"/>
          <w:color w:val="000000"/>
          <w:spacing w:val="4"/>
          <w:w w:val="110"/>
          <w:sz w:val="28"/>
          <w:szCs w:val="28"/>
          <w:lang w:val="uk-UA"/>
        </w:rPr>
        <w:t xml:space="preserve">працювати у </w:t>
      </w:r>
      <w:r w:rsidRPr="0040270A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  <w:lang w:val="uk-UA"/>
        </w:rPr>
        <w:t xml:space="preserve">ринкових </w:t>
      </w:r>
      <w:r w:rsidRPr="0040270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умовах, всіляко </w:t>
      </w:r>
      <w:r w:rsidRPr="0040270A">
        <w:rPr>
          <w:rFonts w:ascii="Times New Roman" w:hAnsi="Times New Roman" w:cs="Times New Roman"/>
          <w:color w:val="000000"/>
          <w:spacing w:val="14"/>
          <w:w w:val="110"/>
          <w:sz w:val="28"/>
          <w:szCs w:val="28"/>
          <w:lang w:val="uk-UA"/>
        </w:rPr>
        <w:t xml:space="preserve">бореться з цим </w:t>
      </w:r>
      <w:r w:rsidRPr="0040270A">
        <w:rPr>
          <w:rFonts w:ascii="Times New Roman" w:hAnsi="Times New Roman" w:cs="Times New Roman"/>
          <w:color w:val="000000"/>
          <w:spacing w:val="14"/>
          <w:w w:val="105"/>
          <w:sz w:val="28"/>
          <w:szCs w:val="28"/>
          <w:lang w:val="uk-UA"/>
        </w:rPr>
        <w:t xml:space="preserve">ринком. </w:t>
      </w:r>
      <w:r w:rsidRPr="0040270A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А на </w:t>
      </w:r>
      <w:r w:rsidRPr="0040270A">
        <w:rPr>
          <w:rFonts w:ascii="Times New Roman" w:hAnsi="Times New Roman" w:cs="Times New Roman"/>
          <w:color w:val="000000"/>
          <w:spacing w:val="14"/>
          <w:w w:val="110"/>
          <w:sz w:val="28"/>
          <w:szCs w:val="28"/>
          <w:lang w:val="uk-UA"/>
        </w:rPr>
        <w:t xml:space="preserve">ринку ключовим </w:t>
      </w:r>
      <w:r w:rsidRPr="0040270A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питанням е: Чи </w:t>
      </w:r>
      <w:r w:rsidRPr="0040270A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задоволений споживач? На відміну від «функціонального»: Чи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дотримані формальні вимоги?</w:t>
      </w:r>
    </w:p>
    <w:p w:rsidR="00E60831" w:rsidRPr="0040270A" w:rsidRDefault="00E60831" w:rsidP="00E60831">
      <w:pPr>
        <w:ind w:firstLine="720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3 базовими принципами, та прикладами «відповідної </w:t>
      </w:r>
      <w:r w:rsidRPr="0040270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практики» щодо сучасної організації бізнесу загалом та конкретно 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освітніх послуг можна ознайомитись за такими документами: серіями </w:t>
      </w:r>
      <w:r w:rsidRPr="0040270A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стандартів І50 9000 та 10000; моделлю «досконалості» </w:t>
      </w: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Європейського фонду якості менеджменту та стандартах ENQA [4].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принципи та «практики» за системою формування вимог да </w:t>
      </w: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змісту освітніх програм та визначення кваліфікаційних вимог не узгоджуються з прийнятою в Україні системою: ні за практикою </w:t>
      </w:r>
      <w:r w:rsidRPr="0040270A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формування освітніх стандартів, ні за системою акредитації, </w:t>
      </w: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ліцензування, ні за системою сертифікації персоналу.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останні роки зросте тенденція впровадження у закладах освіти систем менеджменту якості згідно міжнародних стандартів ISO </w:t>
      </w:r>
      <w:r w:rsidRPr="0040270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серії 9000, які встановлюють шляхи до постійного підвищення якості і </w:t>
      </w:r>
      <w:r w:rsidRPr="0040270A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результативності діяльності і орієнтують на взаємозв’язок зі 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споживачем та його задоволеність.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Під час переходу від функціональної до процесної моделі </w:t>
      </w:r>
      <w:r w:rsidRPr="0040270A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організації системи освіти в умовах впровадження системи </w:t>
      </w:r>
      <w:r w:rsidRPr="0040270A">
        <w:rPr>
          <w:rFonts w:ascii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менеджменту якості (або якісного менеджменту чи якості </w:t>
      </w:r>
      <w:r w:rsidRPr="0040270A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менеджменту) рівень діяльності закладу за вимогами освітніх </w:t>
      </w:r>
      <w:r w:rsidRPr="0040270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стандартів може бути оцінений як обов'язковий і вихідний для </w:t>
      </w:r>
      <w:r w:rsidRPr="0040270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подальших поліпшень. Поліпшення згідно стандартів ISO 9001 i ISO 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9004 повинні проводитися на основі аналізу процесів діяльності, в </w:t>
      </w:r>
      <w:r w:rsidRPr="0040270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тому числі і процесів, пов'язаних із споживачами.</w:t>
      </w:r>
    </w:p>
    <w:p w:rsidR="00E60831" w:rsidRPr="0040270A" w:rsidRDefault="00E60831" w:rsidP="00E60831">
      <w:pPr>
        <w:numPr>
          <w:ilvl w:val="0"/>
          <w:numId w:val="2"/>
        </w:numPr>
        <w:tabs>
          <w:tab w:val="clear" w:pos="288"/>
          <w:tab w:val="decimal" w:pos="936"/>
        </w:tabs>
        <w:spacing w:after="0" w:line="240" w:lineRule="auto"/>
        <w:ind w:left="0" w:right="216" w:firstLine="64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організації (закладі), орієнтованому на замовника, повинні </w:t>
      </w: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бути визначені (р.4.1 ISO 9004):</w:t>
      </w:r>
    </w:p>
    <w:p w:rsidR="00E60831" w:rsidRPr="0040270A" w:rsidRDefault="00E60831" w:rsidP="00E60831">
      <w:pPr>
        <w:numPr>
          <w:ilvl w:val="0"/>
          <w:numId w:val="3"/>
        </w:numPr>
        <w:tabs>
          <w:tab w:val="clear" w:pos="432"/>
          <w:tab w:val="decimal" w:pos="1080"/>
        </w:tabs>
        <w:spacing w:after="0" w:line="240" w:lineRule="auto"/>
        <w:ind w:left="64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показники щодо само оцінювання і задоволення замовників</w:t>
      </w:r>
    </w:p>
    <w:p w:rsidR="00E60831" w:rsidRPr="0040270A" w:rsidRDefault="00E60831" w:rsidP="00E60831">
      <w:pPr>
        <w:ind w:left="10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діяльністю закладу;</w:t>
      </w:r>
    </w:p>
    <w:p w:rsidR="00E60831" w:rsidRPr="0040270A" w:rsidRDefault="00E60831" w:rsidP="00E60831">
      <w:pPr>
        <w:numPr>
          <w:ilvl w:val="0"/>
          <w:numId w:val="4"/>
        </w:numPr>
        <w:tabs>
          <w:tab w:val="clear" w:pos="432"/>
          <w:tab w:val="decimal" w:pos="1080"/>
        </w:tabs>
        <w:spacing w:after="0" w:line="240" w:lineRule="auto"/>
        <w:ind w:left="64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процеси, які ведуть до поліпшення показників;</w:t>
      </w:r>
    </w:p>
    <w:p w:rsidR="00E60831" w:rsidRPr="0040270A" w:rsidRDefault="00E60831" w:rsidP="00E60831">
      <w:pPr>
        <w:numPr>
          <w:ilvl w:val="0"/>
          <w:numId w:val="4"/>
        </w:numPr>
        <w:tabs>
          <w:tab w:val="clear" w:pos="432"/>
          <w:tab w:val="decimal" w:pos="1080"/>
        </w:tabs>
        <w:spacing w:before="144" w:after="0" w:line="240" w:lineRule="auto"/>
        <w:ind w:left="1080" w:hanging="43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lastRenderedPageBreak/>
        <w:t xml:space="preserve">методи, придатні для оцінювання поліпшень процесів і </w:t>
      </w:r>
      <w:r w:rsidRPr="0040270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показників (в тому числі </w:t>
      </w:r>
      <w:r w:rsidRPr="0040270A">
        <w:rPr>
          <w:rFonts w:ascii="Times New Roman" w:hAnsi="Times New Roman" w:cs="Times New Roman"/>
          <w:i/>
          <w:color w:val="000000"/>
          <w:spacing w:val="3"/>
          <w:sz w:val="28"/>
          <w:szCs w:val="28"/>
          <w:lang w:val="uk-UA"/>
        </w:rPr>
        <w:t xml:space="preserve">для </w:t>
      </w:r>
      <w:r w:rsidRPr="0040270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само оцінювання).</w:t>
      </w:r>
    </w:p>
    <w:p w:rsidR="00E60831" w:rsidRPr="0040270A" w:rsidRDefault="00E60831" w:rsidP="00E60831">
      <w:pPr>
        <w:ind w:left="720" w:righ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А за стандартами ENQA навчальні заклади вищої освіти 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повинні серед іншого:</w:t>
      </w:r>
    </w:p>
    <w:p w:rsidR="00E60831" w:rsidRPr="0040270A" w:rsidRDefault="00E60831" w:rsidP="00E608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проводити регулярний періодичний перегляд програм за </w:t>
      </w: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участі зовнішніх експертів;</w:t>
      </w:r>
    </w:p>
    <w:p w:rsidR="00E60831" w:rsidRPr="0040270A" w:rsidRDefault="00E60831" w:rsidP="00E60831">
      <w:pPr>
        <w:pStyle w:val="a3"/>
        <w:numPr>
          <w:ilvl w:val="1"/>
          <w:numId w:val="5"/>
        </w:numPr>
        <w:tabs>
          <w:tab w:val="left" w:pos="2025"/>
          <w:tab w:val="left" w:pos="3303"/>
          <w:tab w:val="left" w:pos="4752"/>
          <w:tab w:val="right" w:pos="6555"/>
        </w:tabs>
        <w:spacing w:before="3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проводити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регулярне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спілкування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працедавцями,</w:t>
      </w:r>
    </w:p>
    <w:p w:rsidR="00E60831" w:rsidRPr="0040270A" w:rsidRDefault="00E60831" w:rsidP="00E608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представниками ринку праці та іншими відповідними </w:t>
      </w:r>
      <w:r w:rsidRPr="0040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організаціями тощо.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Стандарт ISO 9004 </w:t>
      </w:r>
      <w:r w:rsidRPr="0040270A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  <w:lang w:val="uk-UA"/>
        </w:rPr>
        <w:t xml:space="preserve">(Додаток </w:t>
      </w:r>
      <w:r w:rsidRPr="0040270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стандарту)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пропонує</w:t>
      </w:r>
      <w:r w:rsidRPr="0040270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показники </w:t>
      </w:r>
      <w:r w:rsidRPr="0040270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для оцінювання діяльності за п'ятьма ступенями досконалості (від </w:t>
      </w:r>
      <w:r w:rsidRPr="0040270A">
        <w:rPr>
          <w:rFonts w:ascii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відсутності системного (формального) підходу до ступеня </w:t>
      </w:r>
      <w:r w:rsidRPr="0040270A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оптимальних результатів) щодо показників, які можуть бути </w:t>
      </w:r>
      <w:r w:rsidRPr="0040270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запропоновані для оцінювання змін у змісті навчального процесу, у компетенціях фахівців, в освітніх технологіях.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6"/>
          <w:w w:val="85"/>
          <w:sz w:val="28"/>
          <w:szCs w:val="28"/>
          <w:lang w:val="uk-UA"/>
        </w:rPr>
        <w:t>Для</w:t>
      </w:r>
      <w:r w:rsidRPr="0040270A">
        <w:rPr>
          <w:rFonts w:ascii="Times New Roman" w:hAnsi="Times New Roman" w:cs="Times New Roman"/>
          <w:i/>
          <w:color w:val="000000"/>
          <w:spacing w:val="6"/>
          <w:w w:val="85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задоволення потреб та очікувань замовників необхідно 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розуміти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їх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потреби, у тому числі потенційні, визначати ключові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характеристики знань (компетенцій), оцінювати конкуренцію на ринку праці (згідно </w:t>
      </w:r>
      <w:proofErr w:type="spellStart"/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розд</w:t>
      </w:r>
      <w:proofErr w:type="spellEnd"/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. 5.2. Стандарту). Крім того можна застосувати методику «Структурована функція якості» («Дім якості»). для цього необхідно визначити взаємоприйнятні процеси результативного та ефективного обміну інформацію із замовником, яка окрім вимог включає також вивчення ринку (</w:t>
      </w:r>
      <w:proofErr w:type="spellStart"/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розд</w:t>
      </w:r>
      <w:proofErr w:type="spellEnd"/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. 7.2. Стандарту). Процеси зберігання, аналізування та використання інформації щодо замовників повинні бути включені в систему </w:t>
      </w:r>
      <w:proofErr w:type="spellStart"/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моніторинry</w:t>
      </w:r>
      <w:proofErr w:type="spellEnd"/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і вимірювань задоволеності замовників на основі зворотного зв'язку (</w:t>
      </w:r>
      <w:proofErr w:type="spellStart"/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розд</w:t>
      </w:r>
      <w:proofErr w:type="spellEnd"/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. 8.2.1. Стандарту).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Інформація про задоволеність замовників може включати: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-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ab/>
        <w:t>претензії замовників;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-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ab/>
        <w:t>дані анкетування і опитування;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-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ab/>
        <w:t>дані обговорень цільових дискусійних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—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ab/>
        <w:t>звіти об’єднань споживачів;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-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ab/>
        <w:t>галузеві та промислові дослідження.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Однією з головних задач підготовки спеціалістів з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«Управління проектами», на наш погляд, е складання конкретного переліку основних замовни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ків спеціалістів з урахуванням їх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багатовекторності. Такими замовниками можуть бути, наприклад, проектні компанії і організації, що розробляють і впроваджують проекти за галузевими напрямами: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lastRenderedPageBreak/>
        <w:t>-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ab/>
        <w:t>машинобудування;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-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ab/>
        <w:t>будівельна індустрія;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-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ab/>
        <w:t>нафто-газовий комплекс;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—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ab/>
        <w:t>соціальна сфера;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—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ab/>
        <w:t>сфера послуг;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-</w:t>
      </w: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ab/>
        <w:t>адміністративні та урядові заклади.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Прикладом такої галузевої спрямованості можуть слугувати моделі щодо забезпечення кваліфікації та сертифікації персоналу в галузі неруйнівного контролю за стандартом EN 473 та, відповідно й у аерокосмічній</w:t>
      </w:r>
      <w:bookmarkStart w:id="0" w:name="_GoBack"/>
      <w:bookmarkEnd w:id="0"/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галузі, EN 4179 засновані на ISO/ІЕС 17024.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Таким чином, встановлення переліку замовників,</w:t>
      </w:r>
    </w:p>
    <w:p w:rsidR="00E60831" w:rsidRPr="0040270A" w:rsidRDefault="00E60831" w:rsidP="00E60831">
      <w:pPr>
        <w:ind w:firstLine="648"/>
        <w:jc w:val="both"/>
        <w:rPr>
          <w:rFonts w:ascii="Times New Roman" w:hAnsi="Times New Roman" w:cs="Times New Roman"/>
          <w:i/>
          <w:color w:val="000000"/>
          <w:spacing w:val="6"/>
          <w:w w:val="85"/>
          <w:sz w:val="28"/>
          <w:szCs w:val="28"/>
          <w:lang w:val="uk-UA"/>
        </w:rPr>
      </w:pPr>
      <w:r w:rsidRPr="0040270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формування зав’язків з ними на основі прямого і зворотного зв'язку під час вирішення питань удосконалення освітньої діяльності тому числі в процесі визначення змісту навчання спеціалістів (магістрів) е актуальною задачею, яка відповіде вимогам міжнародних стандартів ISO серії 9000 і може вирішуватися, наприклад, шляхом використання методології підготовки, атестації та сертифікації персоналу, що представлена в європейських галузевих стандартах (EN 473, EN 4179).</w:t>
      </w:r>
    </w:p>
    <w:p w:rsidR="00E60831" w:rsidRPr="0040270A" w:rsidRDefault="00E60831" w:rsidP="00E60831">
      <w:pPr>
        <w:pStyle w:val="a3"/>
        <w:widowControl w:val="0"/>
        <w:tabs>
          <w:tab w:val="left" w:pos="142"/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77E" w:rsidRPr="00E60831" w:rsidRDefault="0095077E">
      <w:pPr>
        <w:rPr>
          <w:lang w:val="uk-UA"/>
        </w:rPr>
      </w:pPr>
    </w:p>
    <w:sectPr w:rsidR="0095077E" w:rsidRPr="00E6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4035"/>
    <w:multiLevelType w:val="multilevel"/>
    <w:tmpl w:val="D6CCE1DE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"/>
        <w:w w:val="100"/>
        <w:sz w:val="1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33855"/>
    <w:multiLevelType w:val="multilevel"/>
    <w:tmpl w:val="9874414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2"/>
        <w:w w:val="110"/>
        <w:sz w:val="16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12204"/>
    <w:multiLevelType w:val="hybridMultilevel"/>
    <w:tmpl w:val="7C52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3D0D"/>
    <w:multiLevelType w:val="multilevel"/>
    <w:tmpl w:val="9ACE41A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17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306B6F"/>
    <w:multiLevelType w:val="multilevel"/>
    <w:tmpl w:val="81CE42C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1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31"/>
    <w:rsid w:val="0095077E"/>
    <w:rsid w:val="00E6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45C36-4CCF-4B49-8B34-E889AAEE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8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.gov.ua/imagesJqr/obg12011/proekt%20zakony%20ukrainu%20%2028.%2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Калашник</dc:creator>
  <cp:keywords/>
  <dc:description/>
  <cp:lastModifiedBy>Антон Калашник</cp:lastModifiedBy>
  <cp:revision>1</cp:revision>
  <dcterms:created xsi:type="dcterms:W3CDTF">2017-03-21T15:07:00Z</dcterms:created>
  <dcterms:modified xsi:type="dcterms:W3CDTF">2017-03-21T15:07:00Z</dcterms:modified>
</cp:coreProperties>
</file>