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1F" w:rsidRPr="00085B48" w:rsidRDefault="00CC4C1F" w:rsidP="00CC4C1F">
      <w:pPr>
        <w:pStyle w:val="a4"/>
      </w:pPr>
      <w:r w:rsidRPr="00085B48">
        <w:t>УДК 349.2(043.2)</w:t>
      </w:r>
    </w:p>
    <w:p w:rsidR="00CC4C1F" w:rsidRPr="00085B48" w:rsidRDefault="00CC4C1F" w:rsidP="00CC4C1F">
      <w:pPr>
        <w:pStyle w:val="a9"/>
      </w:pPr>
      <w:bookmarkStart w:id="0" w:name="_Toc497681196"/>
      <w:bookmarkStart w:id="1" w:name="_Toc497738536"/>
      <w:r w:rsidRPr="00085B48">
        <w:rPr>
          <w:rStyle w:val="20"/>
          <w:bCs w:val="0"/>
        </w:rPr>
        <w:t xml:space="preserve">Чайковська А. О., </w:t>
      </w:r>
      <w:proofErr w:type="spellStart"/>
      <w:r w:rsidRPr="00085B48">
        <w:rPr>
          <w:rStyle w:val="20"/>
          <w:bCs w:val="0"/>
        </w:rPr>
        <w:t>Філюшина</w:t>
      </w:r>
      <w:proofErr w:type="spellEnd"/>
      <w:r w:rsidRPr="00085B48">
        <w:rPr>
          <w:rStyle w:val="20"/>
          <w:bCs w:val="0"/>
        </w:rPr>
        <w:t xml:space="preserve"> А. С.</w:t>
      </w:r>
      <w:bookmarkEnd w:id="0"/>
      <w:bookmarkEnd w:id="1"/>
      <w:r w:rsidRPr="00085B48">
        <w:rPr>
          <w:b/>
        </w:rPr>
        <w:t>,</w:t>
      </w:r>
      <w:r w:rsidRPr="00085B48">
        <w:t xml:space="preserve"> студентки,</w:t>
      </w:r>
    </w:p>
    <w:p w:rsidR="00CC4C1F" w:rsidRPr="00085B48" w:rsidRDefault="00CC4C1F" w:rsidP="00CC4C1F">
      <w:pPr>
        <w:pStyle w:val="a9"/>
      </w:pPr>
      <w:r w:rsidRPr="00085B48">
        <w:t>Навчально-науковий Юридичний інститут,</w:t>
      </w:r>
    </w:p>
    <w:p w:rsidR="00CC4C1F" w:rsidRPr="00085B48" w:rsidRDefault="00CC4C1F" w:rsidP="00CC4C1F">
      <w:pPr>
        <w:pStyle w:val="a9"/>
      </w:pPr>
      <w:r w:rsidRPr="00085B48">
        <w:t>Національний авіаційний університет, м. Київ</w:t>
      </w:r>
    </w:p>
    <w:p w:rsidR="00CC4C1F" w:rsidRPr="00085B48" w:rsidRDefault="00CC4C1F" w:rsidP="00CC4C1F">
      <w:pPr>
        <w:pStyle w:val="a9"/>
      </w:pPr>
      <w:r w:rsidRPr="00085B48">
        <w:t xml:space="preserve">Науковий керівник: </w:t>
      </w:r>
      <w:proofErr w:type="spellStart"/>
      <w:r w:rsidRPr="00085B48">
        <w:t>Белуга</w:t>
      </w:r>
      <w:proofErr w:type="spellEnd"/>
      <w:r w:rsidRPr="00085B48">
        <w:t xml:space="preserve"> Ю. М., старший викладач</w:t>
      </w:r>
    </w:p>
    <w:p w:rsidR="00CC4C1F" w:rsidRPr="009617BF" w:rsidRDefault="00CC4C1F" w:rsidP="00CC4C1F">
      <w:pPr>
        <w:pStyle w:val="3"/>
      </w:pPr>
      <w:bookmarkStart w:id="2" w:name="_Toc497681197"/>
      <w:bookmarkStart w:id="3" w:name="_Toc497738537"/>
      <w:r w:rsidRPr="009617BF">
        <w:t xml:space="preserve">ЮРИДИЧНІ ГАРАНТІЇ ТРУДОВИХ ПРАВ </w:t>
      </w:r>
      <w:r w:rsidRPr="00085B48">
        <w:t>ПРАЦІВНИКА</w:t>
      </w:r>
      <w:bookmarkEnd w:id="2"/>
      <w:bookmarkEnd w:id="3"/>
    </w:p>
    <w:p w:rsidR="00CC4C1F" w:rsidRDefault="00CC4C1F" w:rsidP="00CC4C1F">
      <w:pPr>
        <w:ind w:firstLine="510"/>
      </w:pPr>
      <w:r w:rsidRPr="009617BF">
        <w:t>В Конституції України закріплено, що людина, її життя і здоров</w:t>
      </w:r>
      <w:r>
        <w:t>’</w:t>
      </w:r>
      <w:r w:rsidRPr="009617BF">
        <w:t>я, честь і гідність, недоторканність і безпека визнаються в Україні найвищою соціальною цінністю, і саме тому головним обов</w:t>
      </w:r>
      <w:r>
        <w:t>’</w:t>
      </w:r>
      <w:r w:rsidRPr="009617BF">
        <w:t>язком держави постає затвердження і забезпечення цих прав та свобод. Одним із найбільш важливих засобів у цьому напрямку є саме юридичні гарантії.</w:t>
      </w:r>
    </w:p>
    <w:p w:rsidR="00CC4C1F" w:rsidRPr="009617BF" w:rsidRDefault="00CC4C1F" w:rsidP="00CC4C1F">
      <w:pPr>
        <w:ind w:firstLine="510"/>
      </w:pPr>
      <w:r w:rsidRPr="00085B48">
        <w:t>Забезпечення</w:t>
      </w:r>
      <w:r w:rsidRPr="009617BF">
        <w:t xml:space="preserve"> гарантій трудових прав працівника визначено в Кодексі законів про працю України (далі – </w:t>
      </w:r>
      <w:proofErr w:type="spellStart"/>
      <w:r w:rsidRPr="009617BF">
        <w:t>КЗпП</w:t>
      </w:r>
      <w:proofErr w:type="spellEnd"/>
      <w:r w:rsidRPr="009617BF">
        <w:t xml:space="preserve"> України). Встановлення державних гарантій трудових прав громадян, захист прав та інтересів працівників і роботодавців визначаються цілями трудового законодавства.</w:t>
      </w:r>
    </w:p>
    <w:p w:rsidR="00CC4C1F" w:rsidRPr="009617BF" w:rsidRDefault="00CC4C1F" w:rsidP="00CC4C1F">
      <w:pPr>
        <w:ind w:firstLine="510"/>
      </w:pPr>
      <w:r w:rsidRPr="009617BF">
        <w:t xml:space="preserve">Проте, нормативне визначення поняття «гарантії» у чинному </w:t>
      </w:r>
      <w:proofErr w:type="spellStart"/>
      <w:r w:rsidRPr="009617BF">
        <w:t>КЗпП</w:t>
      </w:r>
      <w:proofErr w:type="spellEnd"/>
      <w:r w:rsidRPr="009617BF">
        <w:rPr>
          <w:lang w:val="en-US" w:eastAsia="ru-RU"/>
        </w:rPr>
        <w:t> </w:t>
      </w:r>
      <w:r w:rsidRPr="009617BF">
        <w:t xml:space="preserve">України відсутнє. </w:t>
      </w:r>
      <w:r w:rsidRPr="00085B48">
        <w:t>Однак</w:t>
      </w:r>
      <w:r w:rsidRPr="009617BF">
        <w:t xml:space="preserve"> виходячи зі змісту розділу</w:t>
      </w:r>
      <w:r w:rsidRPr="009617BF">
        <w:rPr>
          <w:lang w:val="en-US" w:eastAsia="ru-RU"/>
        </w:rPr>
        <w:t> </w:t>
      </w:r>
      <w:r w:rsidRPr="009617BF">
        <w:t xml:space="preserve">VIII </w:t>
      </w:r>
      <w:proofErr w:type="spellStart"/>
      <w:r w:rsidRPr="009617BF">
        <w:t>КЗпП</w:t>
      </w:r>
      <w:proofErr w:type="spellEnd"/>
      <w:r w:rsidRPr="009617BF">
        <w:t xml:space="preserve"> «Гарантії і компенсації», можна зробити висновок, що в цьому випадку під гарантіями маються на увазі, переважно, грошові виплати, що зберігають працівнику повністю або частково заробітну плату за час, коли він з поважних причин, передбачених законом, не міг виконувати трудові обов</w:t>
      </w:r>
      <w:r>
        <w:t>’</w:t>
      </w:r>
      <w:r w:rsidRPr="009617BF">
        <w:t>язки. Проте, таке розуміння гарантій у трудовому праві є дуже вузьким і не відповідає рівню розвитку наукових поглядів з цього питання</w:t>
      </w:r>
      <w:r w:rsidRPr="009617BF">
        <w:rPr>
          <w:lang w:val="en-US" w:eastAsia="ru-RU"/>
        </w:rPr>
        <w:t> </w:t>
      </w:r>
      <w:r w:rsidRPr="009617BF">
        <w:t>[5,</w:t>
      </w:r>
      <w:r w:rsidRPr="009617BF">
        <w:rPr>
          <w:lang w:val="en-US" w:eastAsia="ru-RU"/>
        </w:rPr>
        <w:t> </w:t>
      </w:r>
      <w:r w:rsidRPr="009617BF">
        <w:t>c.</w:t>
      </w:r>
      <w:r w:rsidRPr="009617BF">
        <w:rPr>
          <w:lang w:val="en-US" w:eastAsia="ru-RU"/>
        </w:rPr>
        <w:t> </w:t>
      </w:r>
      <w:r w:rsidRPr="009617BF">
        <w:t>90].</w:t>
      </w:r>
    </w:p>
    <w:p w:rsidR="00CC4C1F" w:rsidRDefault="00CC4C1F" w:rsidP="00CC4C1F">
      <w:pPr>
        <w:ind w:firstLine="510"/>
      </w:pPr>
      <w:r w:rsidRPr="009617BF">
        <w:t>У науці трудового права класифікація трудових гарантій проводилася неодноразово. В.</w:t>
      </w:r>
      <w:r w:rsidRPr="009617BF">
        <w:rPr>
          <w:lang w:val="en-US" w:eastAsia="ru-RU"/>
        </w:rPr>
        <w:t> </w:t>
      </w:r>
      <w:r w:rsidRPr="009617BF">
        <w:t>М.</w:t>
      </w:r>
      <w:r w:rsidRPr="009617BF">
        <w:rPr>
          <w:lang w:val="en-US" w:eastAsia="ru-RU"/>
        </w:rPr>
        <w:t> </w:t>
      </w:r>
      <w:proofErr w:type="spellStart"/>
      <w:r w:rsidRPr="009617BF">
        <w:t>Скобелкін</w:t>
      </w:r>
      <w:proofErr w:type="spellEnd"/>
      <w:r w:rsidRPr="009617BF">
        <w:t xml:space="preserve"> поділяє гарантії на три основні групи: гарантії, що забезпечують вступ до трудових правовідносин; гарантії, що забезпечують безперешкодне здійснення трудових прав громадян у трудових і пов</w:t>
      </w:r>
      <w:r>
        <w:t>’</w:t>
      </w:r>
      <w:r w:rsidRPr="009617BF">
        <w:t>язаних з ними інших правовідносин; гарантії, що забезпечують відновлення порушених трудових прав працівників.</w:t>
      </w:r>
    </w:p>
    <w:p w:rsidR="00CC4C1F" w:rsidRDefault="00CC4C1F" w:rsidP="00CC4C1F">
      <w:pPr>
        <w:ind w:firstLine="510"/>
      </w:pPr>
      <w:r w:rsidRPr="009617BF">
        <w:t>Є.</w:t>
      </w:r>
      <w:r w:rsidRPr="009617BF">
        <w:rPr>
          <w:lang w:val="en-US" w:eastAsia="ru-RU"/>
        </w:rPr>
        <w:t> </w:t>
      </w:r>
      <w:r w:rsidRPr="009617BF">
        <w:t>Б.</w:t>
      </w:r>
      <w:r w:rsidRPr="009617BF">
        <w:rPr>
          <w:lang w:val="en-US" w:eastAsia="ru-RU"/>
        </w:rPr>
        <w:t> </w:t>
      </w:r>
      <w:proofErr w:type="spellStart"/>
      <w:r w:rsidRPr="009617BF">
        <w:t>Хохлов</w:t>
      </w:r>
      <w:proofErr w:type="spellEnd"/>
      <w:r w:rsidRPr="009617BF">
        <w:t xml:space="preserve"> </w:t>
      </w:r>
      <w:r w:rsidRPr="00085B48">
        <w:t>запропонував</w:t>
      </w:r>
      <w:r w:rsidRPr="009617BF">
        <w:t xml:space="preserve"> більш стислу класифікацію гарантій трудових прав працівників. За цільовим призначенням він пропонує поділити їх на дві групи: 1)</w:t>
      </w:r>
      <w:r w:rsidRPr="009617BF">
        <w:rPr>
          <w:lang w:val="en-US" w:eastAsia="ru-RU"/>
        </w:rPr>
        <w:t> </w:t>
      </w:r>
      <w:r w:rsidRPr="009617BF">
        <w:t>гарантії реалізації, 2)</w:t>
      </w:r>
      <w:r w:rsidRPr="009617BF">
        <w:rPr>
          <w:lang w:val="en-US" w:eastAsia="ru-RU"/>
        </w:rPr>
        <w:t> </w:t>
      </w:r>
      <w:r w:rsidRPr="009617BF">
        <w:t>гарантії охорони трудових прав.</w:t>
      </w:r>
    </w:p>
    <w:p w:rsidR="00CC4C1F" w:rsidRPr="009617BF" w:rsidRDefault="00CC4C1F" w:rsidP="00CC4C1F">
      <w:pPr>
        <w:ind w:firstLine="510"/>
      </w:pPr>
      <w:r w:rsidRPr="009617BF">
        <w:lastRenderedPageBreak/>
        <w:t xml:space="preserve">Гарантії охорони трудових прав працівника в науковій літературі прийнято поділяти на </w:t>
      </w:r>
      <w:r w:rsidRPr="00085B48">
        <w:t>матеріально</w:t>
      </w:r>
      <w:r w:rsidRPr="009617BF">
        <w:t>-правові і процесуально-правові (захисно-процесуальні) [4,</w:t>
      </w:r>
      <w:r>
        <w:t> с. </w:t>
      </w:r>
      <w:r w:rsidRPr="009617BF">
        <w:t>19-20].</w:t>
      </w:r>
    </w:p>
    <w:p w:rsidR="00CC4C1F" w:rsidRPr="009617BF" w:rsidRDefault="00CC4C1F" w:rsidP="00CC4C1F">
      <w:pPr>
        <w:ind w:firstLine="510"/>
      </w:pPr>
      <w:r w:rsidRPr="009617BF">
        <w:t xml:space="preserve">Що ж </w:t>
      </w:r>
      <w:r w:rsidRPr="00085B48">
        <w:t>стосується</w:t>
      </w:r>
      <w:r w:rsidRPr="009617BF">
        <w:t xml:space="preserve"> правового забезпечення самозахисту працівниками своїх трудових прав і законних інтересів, то в чинному трудовому законодавстві України ця форма захисту належним чином не врегульована. Чинне трудове законодавство України містить лише декілька норм, які надають працівникові право здійснювати самозахист, а саме: відмова працівника від незаконного переведення на іншу роботу, відмова продовжувати роботу, якщо склалася ситуація, що є небезпечною для його життя та ін.</w:t>
      </w:r>
    </w:p>
    <w:p w:rsidR="00CC4C1F" w:rsidRDefault="00CC4C1F" w:rsidP="00CC4C1F">
      <w:pPr>
        <w:ind w:firstLine="510"/>
      </w:pPr>
      <w:r w:rsidRPr="009617BF">
        <w:t xml:space="preserve">На основі аналізу норм проекту Трудового кодексу України можна стверджувати, що, на жаль, проект не містить нормативного закріплення поняття «гарантії </w:t>
      </w:r>
      <w:r w:rsidRPr="00085B48">
        <w:t>працівника</w:t>
      </w:r>
      <w:r w:rsidRPr="009617BF">
        <w:t>».</w:t>
      </w:r>
    </w:p>
    <w:p w:rsidR="00CC4C1F" w:rsidRPr="009617BF" w:rsidRDefault="00CC4C1F" w:rsidP="00CC4C1F">
      <w:pPr>
        <w:ind w:firstLine="510"/>
      </w:pPr>
      <w:r w:rsidRPr="009617BF">
        <w:t>Проте, є і позитивні зрушення, зокрема проект містить норми, які посилюють трудові гарантії працівників. Зміст цих норм полягає у тому, що у разі якщо норми актів законодавства припускають неоднозначне трактування прав та обов</w:t>
      </w:r>
      <w:r>
        <w:t>’</w:t>
      </w:r>
      <w:r w:rsidRPr="009617BF">
        <w:t>язків працівника і роботодавця, внаслідок чого є можливість прийняти рішення на користь і працівника, і роботодавця, рішення приймається на користь працівника.</w:t>
      </w:r>
    </w:p>
    <w:p w:rsidR="00CC4C1F" w:rsidRPr="009617BF" w:rsidRDefault="00CC4C1F" w:rsidP="00CC4C1F">
      <w:pPr>
        <w:ind w:firstLine="510"/>
      </w:pPr>
      <w:r w:rsidRPr="009617BF">
        <w:t>Так, відповідно до ст.</w:t>
      </w:r>
      <w:r w:rsidRPr="009617BF">
        <w:rPr>
          <w:lang w:val="en-US" w:eastAsia="ru-RU"/>
        </w:rPr>
        <w:t> </w:t>
      </w:r>
      <w:r w:rsidRPr="009617BF">
        <w:t xml:space="preserve">17 Проекту Трудового кодексу України </w:t>
      </w:r>
      <w:r>
        <w:t>№ </w:t>
      </w:r>
      <w:r w:rsidRPr="009617BF">
        <w:t xml:space="preserve">1658 від 27.12.2014 у разі </w:t>
      </w:r>
      <w:r w:rsidRPr="00085B48">
        <w:t>якщо</w:t>
      </w:r>
      <w:r w:rsidRPr="009617BF">
        <w:t xml:space="preserve"> норма закону чи іншого акта законодавства, виданого на підставі закону, або норми різних законів чи різних актів законодавства припускають неоднозначне (множинне) трактування прав та обов</w:t>
      </w:r>
      <w:r>
        <w:t>’</w:t>
      </w:r>
      <w:r w:rsidRPr="009617BF">
        <w:t>язків працівника і роботодавця, внаслідок чого є можливість прийняти рішення на користь і працівника, і роботодавця, рішення приймається на користь працівника.</w:t>
      </w:r>
    </w:p>
    <w:p w:rsidR="00CC4C1F" w:rsidRDefault="00CC4C1F" w:rsidP="00CC4C1F">
      <w:pPr>
        <w:ind w:firstLine="510"/>
      </w:pPr>
      <w:r w:rsidRPr="009617BF">
        <w:t xml:space="preserve">Таким чином, Конституція України, заклавши основу процесу формування якісно нового національного трудового законодавства, передбачивши основні соціально-економічні права людини, водночас не закріпила всієї цілісної системи гарантій </w:t>
      </w:r>
      <w:r w:rsidRPr="00085B48">
        <w:t>реалізації</w:t>
      </w:r>
      <w:r w:rsidRPr="009617BF">
        <w:t xml:space="preserve"> й охорони, а також захисту цих прав. А саме ступінь гарантування прав і свобод людини, у тому числі соціально-економічних прав працівників, впливає на рівень розвиненості українського суспільства.</w:t>
      </w:r>
    </w:p>
    <w:p w:rsidR="00CC4C1F" w:rsidRPr="009617BF" w:rsidRDefault="00CC4C1F" w:rsidP="00CC4C1F">
      <w:pPr>
        <w:pStyle w:val="a7"/>
      </w:pPr>
      <w:r w:rsidRPr="009617BF">
        <w:t>Література</w:t>
      </w:r>
    </w:p>
    <w:p w:rsidR="00CC4C1F" w:rsidRPr="009617BF" w:rsidRDefault="00CC4C1F" w:rsidP="00CC4C1F">
      <w:pPr>
        <w:pStyle w:val="a6"/>
      </w:pPr>
      <w:r w:rsidRPr="009617BF">
        <w:t>1.</w:t>
      </w:r>
      <w:r w:rsidRPr="009617BF">
        <w:rPr>
          <w:lang w:val="en-US"/>
        </w:rPr>
        <w:t> </w:t>
      </w:r>
      <w:r w:rsidRPr="009617BF">
        <w:t>Конституція України від 28</w:t>
      </w:r>
      <w:r w:rsidRPr="009617BF">
        <w:rPr>
          <w:lang w:val="en-US"/>
        </w:rPr>
        <w:t> </w:t>
      </w:r>
      <w:r w:rsidRPr="009617BF">
        <w:t>червня 1996</w:t>
      </w:r>
      <w:r w:rsidRPr="009617BF">
        <w:rPr>
          <w:lang w:val="en-US"/>
        </w:rPr>
        <w:t> </w:t>
      </w:r>
      <w:r w:rsidRPr="009617BF">
        <w:t xml:space="preserve">р. </w:t>
      </w:r>
      <w:r>
        <w:t>№ </w:t>
      </w:r>
      <w:r w:rsidRPr="009617BF">
        <w:t>254к/96-ВР</w:t>
      </w:r>
      <w:r>
        <w:t> /</w:t>
      </w:r>
      <w:r w:rsidRPr="009617BF">
        <w:t xml:space="preserve">/ Відомості Верховної Ради України. – 1996. – </w:t>
      </w:r>
      <w:r>
        <w:t>№ </w:t>
      </w:r>
      <w:r w:rsidRPr="009617BF">
        <w:t>30. – Ст.</w:t>
      </w:r>
      <w:r w:rsidRPr="009617BF">
        <w:rPr>
          <w:lang w:val="en-US"/>
        </w:rPr>
        <w:t> </w:t>
      </w:r>
      <w:r w:rsidRPr="009617BF">
        <w:t>141.</w:t>
      </w:r>
    </w:p>
    <w:p w:rsidR="00CC4C1F" w:rsidRPr="009617BF" w:rsidRDefault="00CC4C1F" w:rsidP="00CC4C1F">
      <w:pPr>
        <w:pStyle w:val="a6"/>
      </w:pPr>
      <w:r w:rsidRPr="009617BF">
        <w:lastRenderedPageBreak/>
        <w:t>2.</w:t>
      </w:r>
      <w:r w:rsidRPr="009617BF">
        <w:rPr>
          <w:lang w:val="en-US"/>
        </w:rPr>
        <w:t> </w:t>
      </w:r>
      <w:r w:rsidRPr="009617BF">
        <w:t>Кодекс законів про працю України від 10</w:t>
      </w:r>
      <w:r w:rsidRPr="009617BF">
        <w:rPr>
          <w:lang w:val="en-US"/>
        </w:rPr>
        <w:t> </w:t>
      </w:r>
      <w:r w:rsidRPr="009617BF">
        <w:t>грудня 1971</w:t>
      </w:r>
      <w:r w:rsidRPr="009617BF">
        <w:rPr>
          <w:lang w:val="en-US"/>
        </w:rPr>
        <w:t> </w:t>
      </w:r>
      <w:r w:rsidRPr="009617BF">
        <w:t xml:space="preserve">р. </w:t>
      </w:r>
      <w:r>
        <w:t>№ </w:t>
      </w:r>
      <w:r w:rsidRPr="009617BF">
        <w:t>322-</w:t>
      </w:r>
      <w:r w:rsidRPr="009617BF">
        <w:rPr>
          <w:lang w:val="en-US"/>
        </w:rPr>
        <w:t>VIII</w:t>
      </w:r>
      <w:r>
        <w:t> /</w:t>
      </w:r>
      <w:r w:rsidRPr="009617BF">
        <w:t xml:space="preserve">/ Верховна Рада України. – 1971. – Додаток до </w:t>
      </w:r>
      <w:r>
        <w:t>№ </w:t>
      </w:r>
      <w:r w:rsidRPr="009617BF">
        <w:t>50. – Ст.</w:t>
      </w:r>
      <w:r w:rsidRPr="009617BF">
        <w:rPr>
          <w:lang w:val="en-US"/>
        </w:rPr>
        <w:t> </w:t>
      </w:r>
      <w:r w:rsidRPr="009617BF">
        <w:t>375.</w:t>
      </w:r>
    </w:p>
    <w:p w:rsidR="00CC4C1F" w:rsidRPr="009617BF" w:rsidRDefault="00CC4C1F" w:rsidP="00CC4C1F">
      <w:pPr>
        <w:pStyle w:val="a6"/>
      </w:pPr>
      <w:r w:rsidRPr="009617BF">
        <w:t>3.</w:t>
      </w:r>
      <w:r w:rsidRPr="009617BF">
        <w:rPr>
          <w:lang w:val="en-US"/>
        </w:rPr>
        <w:t> </w:t>
      </w:r>
      <w:r w:rsidRPr="009617BF">
        <w:t>Проект Трудового кодексу України від 27</w:t>
      </w:r>
      <w:r w:rsidRPr="009617BF">
        <w:rPr>
          <w:lang w:val="en-US"/>
        </w:rPr>
        <w:t> </w:t>
      </w:r>
      <w:r w:rsidRPr="009617BF">
        <w:t>грудня 2014</w:t>
      </w:r>
      <w:r w:rsidRPr="009617BF">
        <w:rPr>
          <w:lang w:val="en-US"/>
        </w:rPr>
        <w:t> </w:t>
      </w:r>
      <w:r w:rsidRPr="009617BF">
        <w:t xml:space="preserve">р. </w:t>
      </w:r>
      <w:r>
        <w:t>№ </w:t>
      </w:r>
      <w:r w:rsidRPr="009617BF">
        <w:t xml:space="preserve">1658 [Електронний ресурс]. – Режим доступу: </w:t>
      </w:r>
      <w:hyperlink r:id="rId5" w:history="1">
        <w:r w:rsidRPr="009617BF">
          <w:t xml:space="preserve">http://w1.c1.rada.gov.ua/ </w:t>
        </w:r>
        <w:proofErr w:type="spellStart"/>
        <w:r w:rsidRPr="009617BF">
          <w:t>pls</w:t>
        </w:r>
        <w:proofErr w:type="spellEnd"/>
        <w:r w:rsidRPr="009617BF">
          <w:t>/ zweb2/</w:t>
        </w:r>
      </w:hyperlink>
      <w:r w:rsidRPr="009617BF">
        <w:t xml:space="preserve"> webproc4_1? </w:t>
      </w:r>
      <w:proofErr w:type="spellStart"/>
      <w:r w:rsidRPr="009617BF">
        <w:t>pf</w:t>
      </w:r>
      <w:proofErr w:type="spellEnd"/>
      <w:r w:rsidRPr="009617BF">
        <w:t xml:space="preserve"> 3511=53221.</w:t>
      </w:r>
    </w:p>
    <w:p w:rsidR="00CC4C1F" w:rsidRPr="009617BF" w:rsidRDefault="00CC4C1F" w:rsidP="00CC4C1F">
      <w:pPr>
        <w:pStyle w:val="a6"/>
      </w:pPr>
      <w:r w:rsidRPr="009617BF">
        <w:t>4.</w:t>
      </w:r>
      <w:r w:rsidRPr="009617BF">
        <w:rPr>
          <w:lang w:val="en-US"/>
        </w:rPr>
        <w:t> </w:t>
      </w:r>
      <w:r w:rsidRPr="009617BF">
        <w:t>Вовк</w:t>
      </w:r>
      <w:r w:rsidRPr="009617BF">
        <w:rPr>
          <w:lang w:val="en-US"/>
        </w:rPr>
        <w:t> </w:t>
      </w:r>
      <w:r w:rsidRPr="009617BF">
        <w:t>Д.</w:t>
      </w:r>
      <w:r w:rsidRPr="009617BF">
        <w:rPr>
          <w:lang w:val="en-US"/>
        </w:rPr>
        <w:t> </w:t>
      </w:r>
      <w:r w:rsidRPr="009617BF">
        <w:t>Ю. Окремі питання щодо гарантій трудових прав працівника</w:t>
      </w:r>
      <w:r>
        <w:t> /</w:t>
      </w:r>
      <w:r w:rsidRPr="009617BF">
        <w:t xml:space="preserve"> Д.</w:t>
      </w:r>
      <w:r w:rsidRPr="009617BF">
        <w:rPr>
          <w:lang w:val="en-US"/>
        </w:rPr>
        <w:t> </w:t>
      </w:r>
      <w:r w:rsidRPr="009617BF">
        <w:t>Ю.</w:t>
      </w:r>
      <w:r w:rsidRPr="009617BF">
        <w:rPr>
          <w:lang w:val="en-US"/>
        </w:rPr>
        <w:t> </w:t>
      </w:r>
      <w:r w:rsidRPr="009617BF">
        <w:t>Вовк, Є.</w:t>
      </w:r>
      <w:r w:rsidRPr="009617BF">
        <w:rPr>
          <w:lang w:val="en-US"/>
        </w:rPr>
        <w:t> </w:t>
      </w:r>
      <w:r w:rsidRPr="009617BF">
        <w:t>Ю.</w:t>
      </w:r>
      <w:r w:rsidRPr="009617BF">
        <w:rPr>
          <w:lang w:val="en-US"/>
        </w:rPr>
        <w:t> </w:t>
      </w:r>
      <w:proofErr w:type="spellStart"/>
      <w:r w:rsidRPr="009617BF">
        <w:t>Горева</w:t>
      </w:r>
      <w:proofErr w:type="spellEnd"/>
      <w:r>
        <w:t> /</w:t>
      </w:r>
      <w:r w:rsidRPr="009617BF">
        <w:t xml:space="preserve">/ </w:t>
      </w:r>
      <w:proofErr w:type="spellStart"/>
      <w:r w:rsidRPr="009617BF">
        <w:t>Наук.-теоретич</w:t>
      </w:r>
      <w:proofErr w:type="spellEnd"/>
      <w:r w:rsidRPr="009617BF">
        <w:t xml:space="preserve">. </w:t>
      </w:r>
      <w:proofErr w:type="spellStart"/>
      <w:r w:rsidRPr="009617BF">
        <w:t>конфер</w:t>
      </w:r>
      <w:proofErr w:type="spellEnd"/>
      <w:r w:rsidRPr="009617BF">
        <w:t xml:space="preserve">. викладачів, аспірантів, співробітників та студентів </w:t>
      </w:r>
      <w:proofErr w:type="spellStart"/>
      <w:r w:rsidRPr="009617BF">
        <w:t>юрид</w:t>
      </w:r>
      <w:proofErr w:type="spellEnd"/>
      <w:r w:rsidRPr="009617BF">
        <w:t xml:space="preserve">. </w:t>
      </w:r>
      <w:proofErr w:type="spellStart"/>
      <w:r w:rsidRPr="009617BF">
        <w:t>ф-ту</w:t>
      </w:r>
      <w:proofErr w:type="spellEnd"/>
      <w:r w:rsidRPr="009617BF">
        <w:t>: тези доповідей: у 3-х</w:t>
      </w:r>
      <w:r w:rsidRPr="009617BF">
        <w:rPr>
          <w:lang w:val="en-US"/>
        </w:rPr>
        <w:t> </w:t>
      </w:r>
      <w:r w:rsidRPr="009617BF">
        <w:t>ч., Суми, 20</w:t>
      </w:r>
      <w:r w:rsidRPr="009617BF">
        <w:rPr>
          <w:lang w:val="en-US"/>
        </w:rPr>
        <w:t> </w:t>
      </w:r>
      <w:r w:rsidRPr="009617BF">
        <w:t>квітня 2011</w:t>
      </w:r>
      <w:r w:rsidRPr="009617BF">
        <w:rPr>
          <w:lang w:val="en-US"/>
        </w:rPr>
        <w:t> </w:t>
      </w:r>
      <w:r w:rsidRPr="009617BF">
        <w:t>р.</w:t>
      </w:r>
      <w:r>
        <w:t> /</w:t>
      </w:r>
      <w:r w:rsidRPr="009617BF">
        <w:t xml:space="preserve"> </w:t>
      </w:r>
      <w:proofErr w:type="spellStart"/>
      <w:r w:rsidRPr="009617BF">
        <w:t>відп</w:t>
      </w:r>
      <w:proofErr w:type="spellEnd"/>
      <w:r w:rsidRPr="009617BF">
        <w:t>. за вип.:</w:t>
      </w:r>
      <w:r>
        <w:t xml:space="preserve"> С. </w:t>
      </w:r>
      <w:r w:rsidRPr="009617BF">
        <w:t>І.</w:t>
      </w:r>
      <w:r w:rsidRPr="009617BF">
        <w:rPr>
          <w:lang w:val="en-US"/>
        </w:rPr>
        <w:t> </w:t>
      </w:r>
      <w:r w:rsidRPr="009617BF">
        <w:t>Дегтярьов, В.</w:t>
      </w:r>
      <w:r w:rsidRPr="009617BF">
        <w:rPr>
          <w:lang w:val="en-US"/>
        </w:rPr>
        <w:t> </w:t>
      </w:r>
      <w:r w:rsidRPr="009617BF">
        <w:t>І.</w:t>
      </w:r>
      <w:r w:rsidRPr="009617BF">
        <w:rPr>
          <w:lang w:val="en-US"/>
        </w:rPr>
        <w:t> </w:t>
      </w:r>
      <w:proofErr w:type="spellStart"/>
      <w:r w:rsidRPr="009617BF">
        <w:t>Горевий</w:t>
      </w:r>
      <w:proofErr w:type="spellEnd"/>
      <w:r w:rsidRPr="009617BF">
        <w:t xml:space="preserve">. – Суми: </w:t>
      </w:r>
      <w:proofErr w:type="spellStart"/>
      <w:r w:rsidRPr="009617BF">
        <w:t>СумДУ</w:t>
      </w:r>
      <w:proofErr w:type="spellEnd"/>
      <w:r w:rsidRPr="009617BF">
        <w:t>, 2011. – Ч.</w:t>
      </w:r>
      <w:r w:rsidRPr="009617BF">
        <w:rPr>
          <w:lang w:val="en-US"/>
        </w:rPr>
        <w:t> </w:t>
      </w:r>
      <w:r w:rsidRPr="009617BF">
        <w:t>2. –</w:t>
      </w:r>
      <w:r>
        <w:t xml:space="preserve"> С. </w:t>
      </w:r>
      <w:r w:rsidRPr="009617BF">
        <w:t>18-21.</w:t>
      </w:r>
    </w:p>
    <w:p w:rsidR="00CC4C1F" w:rsidRPr="009617BF" w:rsidRDefault="00CC4C1F" w:rsidP="00CC4C1F">
      <w:pPr>
        <w:pStyle w:val="a6"/>
      </w:pPr>
      <w:r w:rsidRPr="009617BF">
        <w:t>5.</w:t>
      </w:r>
      <w:r w:rsidRPr="009617BF">
        <w:rPr>
          <w:lang w:val="en-US"/>
        </w:rPr>
        <w:t> </w:t>
      </w:r>
      <w:r w:rsidRPr="009617BF">
        <w:t>Омельченко</w:t>
      </w:r>
      <w:r w:rsidRPr="009617BF">
        <w:rPr>
          <w:lang w:val="en-US"/>
        </w:rPr>
        <w:t> </w:t>
      </w:r>
      <w:r w:rsidRPr="009617BF">
        <w:t>Т.</w:t>
      </w:r>
      <w:r w:rsidRPr="009617BF">
        <w:rPr>
          <w:lang w:val="en-US"/>
        </w:rPr>
        <w:t> </w:t>
      </w:r>
      <w:r w:rsidRPr="009617BF">
        <w:t>В. Правовий аналіз гарантій як складової механізму забезпечення здійснення наданих жінкам трудових прав</w:t>
      </w:r>
      <w:r>
        <w:t> /</w:t>
      </w:r>
      <w:r w:rsidRPr="009617BF">
        <w:t xml:space="preserve"> Т.</w:t>
      </w:r>
      <w:r w:rsidRPr="009617BF">
        <w:rPr>
          <w:lang w:val="en-US"/>
        </w:rPr>
        <w:t> </w:t>
      </w:r>
      <w:r w:rsidRPr="009617BF">
        <w:t>В.</w:t>
      </w:r>
      <w:r w:rsidRPr="009617BF">
        <w:rPr>
          <w:lang w:val="en-US"/>
        </w:rPr>
        <w:t> </w:t>
      </w:r>
      <w:r w:rsidRPr="009617BF">
        <w:t>Омельченко</w:t>
      </w:r>
      <w:r>
        <w:t> /</w:t>
      </w:r>
      <w:r w:rsidRPr="009617BF">
        <w:t xml:space="preserve">/ </w:t>
      </w:r>
      <w:proofErr w:type="spellStart"/>
      <w:r w:rsidRPr="009617BF">
        <w:t>Актуальнi</w:t>
      </w:r>
      <w:proofErr w:type="spellEnd"/>
      <w:r w:rsidRPr="009617BF">
        <w:t xml:space="preserve"> проблеми права: </w:t>
      </w:r>
      <w:proofErr w:type="spellStart"/>
      <w:r w:rsidRPr="009617BF">
        <w:t>теорiя</w:t>
      </w:r>
      <w:proofErr w:type="spellEnd"/>
      <w:r w:rsidRPr="009617BF">
        <w:t xml:space="preserve"> i практика. – </w:t>
      </w:r>
      <w:r>
        <w:t>№ </w:t>
      </w:r>
      <w:r w:rsidRPr="009617BF">
        <w:t>26. – 2013. –</w:t>
      </w:r>
      <w:r>
        <w:t xml:space="preserve"> С. </w:t>
      </w:r>
      <w:r w:rsidRPr="009617BF">
        <w:t>90.</w:t>
      </w:r>
    </w:p>
    <w:p w:rsidR="00A327C9" w:rsidRPr="00056A19" w:rsidRDefault="00A327C9" w:rsidP="00056A19">
      <w:bookmarkStart w:id="4" w:name="_GoBack"/>
      <w:bookmarkEnd w:id="4"/>
    </w:p>
    <w:sectPr w:rsidR="00A327C9" w:rsidRPr="0005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56A19"/>
    <w:rsid w:val="00075984"/>
    <w:rsid w:val="00115812"/>
    <w:rsid w:val="0013261D"/>
    <w:rsid w:val="00162862"/>
    <w:rsid w:val="001A3F09"/>
    <w:rsid w:val="002379F5"/>
    <w:rsid w:val="004C07C0"/>
    <w:rsid w:val="004C65F4"/>
    <w:rsid w:val="004D723E"/>
    <w:rsid w:val="005123C7"/>
    <w:rsid w:val="00572EC3"/>
    <w:rsid w:val="0058320A"/>
    <w:rsid w:val="005A2AFC"/>
    <w:rsid w:val="006543BE"/>
    <w:rsid w:val="006B7519"/>
    <w:rsid w:val="006C47AA"/>
    <w:rsid w:val="006C760F"/>
    <w:rsid w:val="007E4973"/>
    <w:rsid w:val="008509B1"/>
    <w:rsid w:val="00944243"/>
    <w:rsid w:val="00964E3F"/>
    <w:rsid w:val="00972F30"/>
    <w:rsid w:val="0098394A"/>
    <w:rsid w:val="00A11CB8"/>
    <w:rsid w:val="00A327C9"/>
    <w:rsid w:val="00A74EE5"/>
    <w:rsid w:val="00A84DE6"/>
    <w:rsid w:val="00AD7A3A"/>
    <w:rsid w:val="00B41B24"/>
    <w:rsid w:val="00B7471F"/>
    <w:rsid w:val="00BB1FCD"/>
    <w:rsid w:val="00C01C75"/>
    <w:rsid w:val="00C24EAC"/>
    <w:rsid w:val="00C66CE3"/>
    <w:rsid w:val="00C957B6"/>
    <w:rsid w:val="00CC204D"/>
    <w:rsid w:val="00CC4C1F"/>
    <w:rsid w:val="00CE0F36"/>
    <w:rsid w:val="00D75C31"/>
    <w:rsid w:val="00EA2F3F"/>
    <w:rsid w:val="00ED7B75"/>
    <w:rsid w:val="00EF520C"/>
    <w:rsid w:val="00F7153A"/>
    <w:rsid w:val="00F745B1"/>
    <w:rsid w:val="00F80D6B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1.c1.rada.gov.ua/pls/zweb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2017-11-30T14:10:00Z</dcterms:created>
  <dcterms:modified xsi:type="dcterms:W3CDTF">2017-11-30T14:10:00Z</dcterms:modified>
</cp:coreProperties>
</file>