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C5" w:rsidRPr="00725E7D" w:rsidRDefault="00CA1DC5" w:rsidP="00CA1DC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347.12</w:t>
      </w:r>
    </w:p>
    <w:p w:rsidR="00CA1DC5" w:rsidRPr="00725E7D" w:rsidRDefault="00CA1DC5" w:rsidP="00CA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Дузь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М.В.,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CA1DC5" w:rsidRPr="00725E7D" w:rsidRDefault="00CA1DC5" w:rsidP="00CA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CA1DC5" w:rsidRPr="00725E7D" w:rsidRDefault="00CA1DC5" w:rsidP="00CA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CA1DC5" w:rsidRPr="00725E7D" w:rsidRDefault="00CA1DC5" w:rsidP="00CA1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Білоусов В.М., старший викладач </w:t>
      </w:r>
    </w:p>
    <w:p w:rsidR="00CA1DC5" w:rsidRPr="00725E7D" w:rsidRDefault="00CA1DC5" w:rsidP="00CA1D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DC5" w:rsidRPr="00725E7D" w:rsidRDefault="00CA1DC5" w:rsidP="00CA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АКТУАЛЬНІ ПРОБЛЕМИ ОСОБИСТИХ НЕМАЙНОВИХ ПРАВ ОСОБИ</w:t>
      </w:r>
    </w:p>
    <w:p w:rsidR="00CA1DC5" w:rsidRPr="00725E7D" w:rsidRDefault="00CA1DC5" w:rsidP="00CA1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Проведене дослідження основних положень щодо особистих немайнових прав в цивільному праві, аналіз сучасних, у тому числі й зарубіжних, теоретичних розробок у цій сфері, законодавчої та судової практики демонструють їх складність, комплексність, функціональну залежність від внутрішньої і міжнародної соціально-економічної ситуації, стану розвитку цивільного законодавства, теоретичних підходів у цій сфері й інших чинників. Тому в цивільному законодавстві України важливо враховувати наступне.</w:t>
      </w:r>
      <w:r w:rsidRPr="00725E7D">
        <w:rPr>
          <w:sz w:val="28"/>
        </w:rPr>
        <w:br/>
        <w:t>Особисті немайнові права в цивільно-правовому значенні є врегульованими нормами правами зв’язку між певними суб’єктами з приводу особистих немайнових благ. Отже, особисті немайнові права в цивільному праві – це суб’єктивні права громадян, виникаючі унаслідок регулювання нормами цивільного права особистих немайнових відносин, не пов’язаних з майновими [2, с. 120].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 xml:space="preserve">Особисті немайнові права в цивільному праві є самостійним видом суб’єктивних прав, виконують роль правового засобу забезпечення особистої (індивідуальної) сфери громадянина від стороннього втручання і вимагають застосування цивільно-правових інструментів їх регулювання. Право на захист особистих немайнових прав – це регламентоване правове регулювання на випадок </w:t>
      </w:r>
      <w:proofErr w:type="spellStart"/>
      <w:r w:rsidRPr="00725E7D">
        <w:rPr>
          <w:sz w:val="28"/>
        </w:rPr>
        <w:t>оспорення</w:t>
      </w:r>
      <w:proofErr w:type="spellEnd"/>
      <w:r w:rsidRPr="00725E7D">
        <w:rPr>
          <w:sz w:val="28"/>
        </w:rPr>
        <w:t>, невизнання, виникнення загрози порушення чи порушення особистого немайнового права. Змістом права на захист особистих немайнових прав є такі повноваження: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 xml:space="preserve">а) вимагати </w:t>
      </w:r>
      <w:proofErr w:type="spellStart"/>
      <w:r w:rsidRPr="00725E7D">
        <w:rPr>
          <w:sz w:val="28"/>
        </w:rPr>
        <w:t>непорушення</w:t>
      </w:r>
      <w:proofErr w:type="spellEnd"/>
      <w:r w:rsidRPr="00725E7D">
        <w:rPr>
          <w:sz w:val="28"/>
        </w:rPr>
        <w:t xml:space="preserve"> цих прав;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lastRenderedPageBreak/>
        <w:t>б) вимагати припинення всіх діянь, якими порушуються ці права;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в) вимагати відновлення вказаних особистих немайнових прав у випадку їх порушення.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Законодавець наділяє особу можливістю застосувати для захисту свого особистого немайнового права від протиправного посягання з боку інших осіб;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а) загальні способи захисту, перелік та способи застосування яких встановлені главою 3 ЦК;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б) спеціальні способи захисту, які встановлюють конкретно для певної категорії прав у цілому та для конкретного права зокрема.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Проблема особистих немайнових прав особи, громадянина є однією з найважливіших у цивілістиці. Кожна особа у правовій державі має відчувати свою правову та соціальну захищеність; повага до особистості є в такому суспільстві нормою повсякденного життя.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Особисті права людини нерозривно пов'язані з такими поняттями, як рівність, свобода, недоторканість особи. І це природно, тому що ідеї рівності, свободи і недоторканності протягом всієї історії цивілізації використовувалися в боротьбі нового зі старим, прогресивного з консервативним.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Цінність особистих прав складається головним чином в тому, що вони самі і гарантії їхнього реального здійснення визначають становище людини в суспільстві, а, отже, і становище самого суспільства.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Іншими словами, міру свободи особи в суспільстві необхідно прямо проектувати на міру справедливості і свободи самого суспільства. Визнанням цього постало прийняття ще 10 грудня 1948 року Генеральною Асамблеєю ООН Загальної декларації прав людини.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 xml:space="preserve">Закріплюючи особисті немайнові права в конституції, держава забезпечує їхнє правове регулювання комплексно, тобто за допомогою норм ряду галузей права. У рамках комплексного регулювання особистих немайнових прав необхідно виділяти цивільно-правовий аспект. У зв'язку з </w:t>
      </w:r>
      <w:r w:rsidRPr="00725E7D">
        <w:rPr>
          <w:sz w:val="28"/>
        </w:rPr>
        <w:lastRenderedPageBreak/>
        <w:t>цим у теорії були висловлені дві точки зору на цивільно-правове регулювання особистих немайнових прав. Довгий час панувало уявлення про те, що цивільне право не регулює, а лише охороняє особисті немайнові права. Проте правове регулювання й охорона прав не можуть протиставлятися, оскільки регулювання означає охорону прав, а їхня охорона здійснюється шляхом регулювання відповідних відносин [2, с. 121].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Роль і можливості цивільно-правового регулювання особистих немайнових прав визначаються предметом цивільного права. Цивільне право поряд із майновими відносинами (що складають ядро цивільного права) регулює пов'язані з ними особисті немайнові відносини, а також особисті немайнові відносини, не пов'язані з майновими.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>Особисті немайнові відносини, не пов'язані з майновими, будучи урегульовані нормами права, являють собою правові зв'язки між суб'єктами з приводу особистих немайнових благ. З цього випливає, що особисті немайнові права в цивільному праві - суб'єктивні права громадян і організацій, що виникають у зв'язку з регулюванням нормами цивільного права особистих немайнових відносин, не пов'язаних із майновими.</w:t>
      </w:r>
    </w:p>
    <w:p w:rsidR="00CA1DC5" w:rsidRPr="00725E7D" w:rsidRDefault="00CA1DC5" w:rsidP="00CA1DC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25E7D">
        <w:rPr>
          <w:sz w:val="28"/>
        </w:rPr>
        <w:t xml:space="preserve">Цивільне законодавство незалежної України зараз перебуває на стадії активного формування – Проект Цивільного кодексу прийнято Верховною Радою України у першому читанні [3, с. 296]. Тому в роботі зроблено спробу проаналізувати особисті немайнові права з точки зору їх сучасної </w:t>
      </w:r>
      <w:proofErr w:type="spellStart"/>
      <w:r w:rsidRPr="00725E7D">
        <w:rPr>
          <w:sz w:val="28"/>
        </w:rPr>
        <w:t>врегульованості</w:t>
      </w:r>
      <w:proofErr w:type="spellEnd"/>
      <w:r w:rsidRPr="00725E7D">
        <w:rPr>
          <w:sz w:val="28"/>
        </w:rPr>
        <w:t xml:space="preserve"> і одночасно з точки зору Проекту Цивільного кодексу України. Наголос зроблено на особистих немайнових правах фізичних осіб, оскільки саме вони мають визначальне значення в цьому питанні.</w:t>
      </w:r>
    </w:p>
    <w:p w:rsidR="00CA1DC5" w:rsidRPr="00725E7D" w:rsidRDefault="00CA1DC5" w:rsidP="00CA1D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CA1DC5" w:rsidRPr="00725E7D" w:rsidRDefault="00CA1DC5" w:rsidP="00CA1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1. Цивільний кодекс України // Відомості Верховної Ради України. – 2003. – № 40. – Ст. 356.</w:t>
      </w:r>
    </w:p>
    <w:p w:rsidR="00CA1DC5" w:rsidRPr="00725E7D" w:rsidRDefault="00CA1DC5" w:rsidP="00CA1DC5">
      <w:pPr>
        <w:pStyle w:val="western"/>
        <w:keepNext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25E7D">
        <w:rPr>
          <w:sz w:val="28"/>
          <w:szCs w:val="28"/>
          <w:lang w:val="uk-UA"/>
        </w:rPr>
        <w:t xml:space="preserve">2.  Цивільне право: Підручник для вузів / Під. ред. проф. В. Р. Скрипко М.,  2013. </w:t>
      </w:r>
    </w:p>
    <w:p w:rsidR="009C3EFB" w:rsidRPr="00CA1DC5" w:rsidRDefault="00CA1DC5" w:rsidP="00CA1DC5">
      <w:pPr>
        <w:rPr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3. Цивільний кодекс України: Науково-практичний коментар (пояснення, тлумачення, рекомендації з використанням позицій вищих судових інстанцій, Міністерства юстиції, науковців, фахівців). – Т. 2: Фізична особа. – X. 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Страйд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, 2009. – 296 с.</w:t>
      </w:r>
    </w:p>
    <w:sectPr w:rsidR="009C3EFB" w:rsidRPr="00CA1DC5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1DC5"/>
    <w:rsid w:val="00765807"/>
    <w:rsid w:val="007E64A5"/>
    <w:rsid w:val="009C3EFB"/>
    <w:rsid w:val="00CA1DC5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C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2017-05-19T08:01:00Z</dcterms:created>
  <dcterms:modified xsi:type="dcterms:W3CDTF">2017-05-19T08:01:00Z</dcterms:modified>
</cp:coreProperties>
</file>