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96" w:rsidRPr="007D2796" w:rsidRDefault="007D2796" w:rsidP="007D2796">
      <w:pPr>
        <w:ind w:firstLine="567"/>
        <w:rPr>
          <w:szCs w:val="28"/>
        </w:rPr>
      </w:pPr>
      <w:bookmarkStart w:id="0" w:name="_GoBack"/>
      <w:r>
        <w:rPr>
          <w:szCs w:val="28"/>
        </w:rPr>
        <w:t>УДК:</w:t>
      </w:r>
      <w:r w:rsidR="006B53A5">
        <w:rPr>
          <w:szCs w:val="28"/>
        </w:rPr>
        <w:t>343</w:t>
      </w:r>
    </w:p>
    <w:p w:rsidR="00DF2A29" w:rsidRDefault="00DF2A29" w:rsidP="00AD4AF0">
      <w:pPr>
        <w:ind w:firstLine="567"/>
        <w:jc w:val="right"/>
        <w:rPr>
          <w:szCs w:val="28"/>
        </w:rPr>
      </w:pPr>
      <w:r w:rsidRPr="007D2796">
        <w:rPr>
          <w:b/>
          <w:szCs w:val="28"/>
        </w:rPr>
        <w:t>Шило С. В.,</w:t>
      </w:r>
      <w:r>
        <w:rPr>
          <w:szCs w:val="28"/>
        </w:rPr>
        <w:t xml:space="preserve"> студентка 305 групи</w:t>
      </w:r>
    </w:p>
    <w:p w:rsidR="00DF2A29" w:rsidRDefault="00DF2A29" w:rsidP="00AD4AF0">
      <w:pPr>
        <w:ind w:firstLine="567"/>
        <w:jc w:val="right"/>
        <w:rPr>
          <w:szCs w:val="28"/>
        </w:rPr>
      </w:pPr>
      <w:r>
        <w:rPr>
          <w:szCs w:val="28"/>
        </w:rPr>
        <w:t>Навчально-науковий юридичний інститут,</w:t>
      </w:r>
    </w:p>
    <w:p w:rsidR="00DF2A29" w:rsidRDefault="00DF2A29" w:rsidP="00AD4AF0">
      <w:pPr>
        <w:ind w:firstLine="567"/>
        <w:jc w:val="right"/>
        <w:rPr>
          <w:szCs w:val="28"/>
        </w:rPr>
      </w:pPr>
      <w:r>
        <w:rPr>
          <w:szCs w:val="28"/>
        </w:rPr>
        <w:t>Національного авіаційного університету м. Київ</w:t>
      </w:r>
    </w:p>
    <w:p w:rsidR="0081691A" w:rsidRDefault="00DF2A29" w:rsidP="0081691A">
      <w:pPr>
        <w:ind w:firstLine="567"/>
        <w:jc w:val="right"/>
        <w:rPr>
          <w:szCs w:val="28"/>
        </w:rPr>
      </w:pPr>
      <w:r>
        <w:rPr>
          <w:szCs w:val="28"/>
        </w:rPr>
        <w:t>Науковий керівник:</w:t>
      </w:r>
      <w:r w:rsidR="00A23590" w:rsidRPr="00A23590">
        <w:rPr>
          <w:szCs w:val="28"/>
        </w:rPr>
        <w:t xml:space="preserve"> </w:t>
      </w:r>
      <w:r w:rsidR="00B96511">
        <w:rPr>
          <w:szCs w:val="28"/>
        </w:rPr>
        <w:t>Логвиненко А. О.</w:t>
      </w:r>
      <w:r w:rsidR="0081691A">
        <w:rPr>
          <w:szCs w:val="28"/>
        </w:rPr>
        <w:t>, асистент</w:t>
      </w:r>
    </w:p>
    <w:p w:rsidR="00DF2A29" w:rsidRDefault="00DF2A29" w:rsidP="00AD4AF0">
      <w:pPr>
        <w:ind w:firstLine="567"/>
        <w:jc w:val="right"/>
        <w:rPr>
          <w:szCs w:val="28"/>
        </w:rPr>
      </w:pPr>
    </w:p>
    <w:p w:rsidR="00AD4AF0" w:rsidRDefault="00AD4AF0" w:rsidP="00AD4AF0">
      <w:pPr>
        <w:ind w:firstLine="567"/>
        <w:jc w:val="center"/>
        <w:rPr>
          <w:szCs w:val="28"/>
        </w:rPr>
      </w:pPr>
      <w:r>
        <w:rPr>
          <w:szCs w:val="28"/>
        </w:rPr>
        <w:t>«ОСОБЛИВОСТІ КРИМІНАЛЬНОЇ ВІДПОВІДАЛЬНОСТІ ЗА ГРУПОВЕ ПОРУШЕННЯ ГРОМАДСЬКОГО ПОРЯДКУ»</w:t>
      </w:r>
    </w:p>
    <w:p w:rsidR="007D2796" w:rsidRPr="00DF2A29" w:rsidRDefault="007D2796" w:rsidP="00AD4AF0">
      <w:pPr>
        <w:ind w:firstLine="567"/>
        <w:jc w:val="center"/>
        <w:rPr>
          <w:szCs w:val="28"/>
        </w:rPr>
      </w:pPr>
    </w:p>
    <w:p w:rsidR="002072FC" w:rsidRDefault="00B96511" w:rsidP="00AD4AF0">
      <w:pPr>
        <w:ind w:firstLine="567"/>
        <w:jc w:val="both"/>
        <w:rPr>
          <w:rFonts w:eastAsia="Times New Roman"/>
          <w:szCs w:val="28"/>
          <w:lang w:eastAsia="uk-UA"/>
        </w:rPr>
      </w:pPr>
      <w:r>
        <w:rPr>
          <w:rFonts w:eastAsia="Times New Roman"/>
          <w:szCs w:val="28"/>
          <w:lang w:eastAsia="uk-UA"/>
        </w:rPr>
        <w:t>Законодавець у диспозиції</w:t>
      </w:r>
      <w:r w:rsidR="002072FC">
        <w:rPr>
          <w:rFonts w:eastAsia="Times New Roman"/>
          <w:szCs w:val="28"/>
          <w:lang w:eastAsia="uk-UA"/>
        </w:rPr>
        <w:t xml:space="preserve"> ст. 293 </w:t>
      </w:r>
      <w:r w:rsidR="00AF76DD">
        <w:rPr>
          <w:rFonts w:eastAsia="Times New Roman"/>
          <w:szCs w:val="28"/>
          <w:lang w:eastAsia="uk-UA"/>
        </w:rPr>
        <w:t xml:space="preserve">КК України </w:t>
      </w:r>
      <w:r w:rsidR="002072FC">
        <w:rPr>
          <w:rFonts w:eastAsia="Times New Roman"/>
          <w:szCs w:val="28"/>
          <w:lang w:eastAsia="uk-UA"/>
        </w:rPr>
        <w:t xml:space="preserve">визначив, що </w:t>
      </w:r>
      <w:r w:rsidR="002072FC" w:rsidRPr="00D06A72">
        <w:rPr>
          <w:rFonts w:eastAsia="Times New Roman"/>
          <w:szCs w:val="28"/>
          <w:lang w:eastAsia="uk-UA"/>
        </w:rPr>
        <w:t>організація групових дій, що призвели до грубого порушення громадського порядку або суттєвого по</w:t>
      </w:r>
      <w:r w:rsidR="002072FC" w:rsidRPr="00D06A72">
        <w:rPr>
          <w:rFonts w:eastAsia="Times New Roman"/>
          <w:szCs w:val="28"/>
          <w:lang w:eastAsia="uk-UA"/>
        </w:rPr>
        <w:softHyphen/>
        <w:t>рушення роботи транспорту, підприємства, установи чи організації, а також активна участь у таких діях є небезпечним діянням, і вст</w:t>
      </w:r>
      <w:r w:rsidR="00AF76DD">
        <w:rPr>
          <w:rFonts w:eastAsia="Times New Roman"/>
          <w:szCs w:val="28"/>
          <w:lang w:eastAsia="uk-UA"/>
        </w:rPr>
        <w:t>ановив</w:t>
      </w:r>
      <w:r w:rsidR="002072FC" w:rsidRPr="00D06A72">
        <w:rPr>
          <w:rFonts w:eastAsia="Times New Roman"/>
          <w:szCs w:val="28"/>
          <w:lang w:eastAsia="uk-UA"/>
        </w:rPr>
        <w:t xml:space="preserve"> міру покарання за ці діяння у вигляді покарання штрафом до п</w:t>
      </w:r>
      <w:r w:rsidR="002072FC">
        <w:rPr>
          <w:rFonts w:eastAsia="Times New Roman"/>
          <w:szCs w:val="28"/>
          <w:lang w:eastAsia="uk-UA"/>
        </w:rPr>
        <w:t>’</w:t>
      </w:r>
      <w:r w:rsidR="002072FC" w:rsidRPr="00D06A72">
        <w:rPr>
          <w:rFonts w:eastAsia="Times New Roman"/>
          <w:szCs w:val="28"/>
          <w:lang w:eastAsia="uk-UA"/>
        </w:rPr>
        <w:t>ятдесяти неоподатковуваних мінімумів доходів громадян або арештом на строк до шести місяців</w:t>
      </w:r>
      <w:r w:rsidR="002072FC">
        <w:rPr>
          <w:rFonts w:eastAsia="Times New Roman"/>
          <w:szCs w:val="28"/>
          <w:lang w:eastAsia="uk-UA"/>
        </w:rPr>
        <w:t>.</w:t>
      </w:r>
    </w:p>
    <w:p w:rsidR="002072FC" w:rsidRPr="00D06A72" w:rsidRDefault="00B96511" w:rsidP="00AD4AF0">
      <w:pPr>
        <w:ind w:firstLine="567"/>
        <w:jc w:val="both"/>
        <w:rPr>
          <w:rFonts w:eastAsia="Times New Roman"/>
          <w:szCs w:val="28"/>
          <w:lang w:eastAsia="uk-UA"/>
        </w:rPr>
      </w:pPr>
      <w:r>
        <w:rPr>
          <w:rFonts w:eastAsia="Times New Roman"/>
          <w:szCs w:val="28"/>
          <w:lang w:eastAsia="uk-UA"/>
        </w:rPr>
        <w:t>З</w:t>
      </w:r>
      <w:r w:rsidR="002072FC">
        <w:rPr>
          <w:rFonts w:eastAsia="Times New Roman"/>
          <w:szCs w:val="28"/>
          <w:lang w:eastAsia="uk-UA"/>
        </w:rPr>
        <w:t>аконодавець відносить групове порушення громадського порядку до злочинів невеликої тяжкості (згідно ч. 2 ст. 12 КК України), що наближує відповідальність за вчинення даного злочину до відповідальності за</w:t>
      </w:r>
      <w:r>
        <w:rPr>
          <w:rFonts w:eastAsia="Times New Roman"/>
          <w:szCs w:val="28"/>
          <w:lang w:eastAsia="uk-UA"/>
        </w:rPr>
        <w:t xml:space="preserve"> адміністративне правопорушення.</w:t>
      </w:r>
      <w:r w:rsidR="002072FC">
        <w:rPr>
          <w:rFonts w:eastAsia="Times New Roman"/>
          <w:szCs w:val="28"/>
          <w:lang w:eastAsia="uk-UA"/>
        </w:rPr>
        <w:t xml:space="preserve"> </w:t>
      </w:r>
    </w:p>
    <w:p w:rsidR="002072FC" w:rsidRPr="00D06A72" w:rsidRDefault="00B17F02" w:rsidP="00AD4AF0">
      <w:pPr>
        <w:ind w:firstLine="567"/>
        <w:jc w:val="both"/>
        <w:rPr>
          <w:rFonts w:eastAsia="Times New Roman"/>
          <w:szCs w:val="28"/>
          <w:lang w:eastAsia="uk-UA"/>
        </w:rPr>
      </w:pPr>
      <w:r>
        <w:rPr>
          <w:rFonts w:eastAsia="Times New Roman"/>
          <w:szCs w:val="28"/>
          <w:lang w:eastAsia="uk-UA"/>
        </w:rPr>
        <w:t>Г</w:t>
      </w:r>
      <w:r w:rsidR="002072FC">
        <w:rPr>
          <w:rFonts w:eastAsia="Times New Roman"/>
          <w:szCs w:val="28"/>
          <w:lang w:eastAsia="uk-UA"/>
        </w:rPr>
        <w:t xml:space="preserve">ромадський порядок є родовим об’єктом не лише групового порушення громадського порядку, але й хуліганства, в тому числі групового </w:t>
      </w:r>
      <w:r w:rsidR="002072FC" w:rsidRPr="00D06A72">
        <w:rPr>
          <w:rFonts w:eastAsia="Times New Roman"/>
          <w:szCs w:val="28"/>
          <w:lang w:eastAsia="uk-UA"/>
        </w:rPr>
        <w:t>(</w:t>
      </w:r>
      <w:r w:rsidR="007402B3">
        <w:rPr>
          <w:rFonts w:eastAsia="Times New Roman"/>
          <w:szCs w:val="28"/>
          <w:lang w:eastAsia="uk-UA"/>
        </w:rPr>
        <w:t xml:space="preserve">ч. 2 </w:t>
      </w:r>
      <w:r w:rsidR="002072FC" w:rsidRPr="00D06A72">
        <w:rPr>
          <w:rFonts w:eastAsia="Times New Roman"/>
          <w:szCs w:val="28"/>
          <w:lang w:eastAsia="uk-UA"/>
        </w:rPr>
        <w:t>ст. 296 КК України)</w:t>
      </w:r>
      <w:r w:rsidR="002072FC">
        <w:rPr>
          <w:rFonts w:eastAsia="Times New Roman"/>
          <w:szCs w:val="28"/>
          <w:lang w:eastAsia="uk-UA"/>
        </w:rPr>
        <w:t>, масових заворушень (</w:t>
      </w:r>
      <w:r w:rsidR="002072FC" w:rsidRPr="00D06A72">
        <w:rPr>
          <w:szCs w:val="28"/>
        </w:rPr>
        <w:t>ст. 294 КК України</w:t>
      </w:r>
      <w:r w:rsidR="002072FC">
        <w:rPr>
          <w:rFonts w:eastAsia="Times New Roman"/>
          <w:szCs w:val="28"/>
          <w:lang w:eastAsia="uk-UA"/>
        </w:rPr>
        <w:t xml:space="preserve">), </w:t>
      </w:r>
      <w:r w:rsidR="002072FC" w:rsidRPr="00D06A72">
        <w:rPr>
          <w:szCs w:val="28"/>
        </w:rPr>
        <w:t>заклик</w:t>
      </w:r>
      <w:r w:rsidR="002072FC">
        <w:rPr>
          <w:szCs w:val="28"/>
        </w:rPr>
        <w:t>ів</w:t>
      </w:r>
      <w:r w:rsidR="002072FC" w:rsidRPr="00D06A72">
        <w:rPr>
          <w:szCs w:val="28"/>
        </w:rPr>
        <w:t xml:space="preserve"> до вчинення дій, що загрожують громадському порядку </w:t>
      </w:r>
      <w:r w:rsidR="002072FC">
        <w:rPr>
          <w:szCs w:val="28"/>
        </w:rPr>
        <w:t>(</w:t>
      </w:r>
      <w:r w:rsidR="002072FC" w:rsidRPr="00D06A72">
        <w:rPr>
          <w:szCs w:val="28"/>
        </w:rPr>
        <w:t>ст. 295 КК України</w:t>
      </w:r>
      <w:r w:rsidR="002072FC">
        <w:rPr>
          <w:szCs w:val="28"/>
        </w:rPr>
        <w:t>).</w:t>
      </w:r>
      <w:r w:rsidR="002072FC" w:rsidRPr="00D06A72">
        <w:rPr>
          <w:rFonts w:eastAsia="Times New Roman"/>
          <w:szCs w:val="28"/>
          <w:lang w:eastAsia="uk-UA"/>
        </w:rPr>
        <w:t xml:space="preserve"> </w:t>
      </w:r>
      <w:r w:rsidR="002072FC">
        <w:rPr>
          <w:rFonts w:eastAsia="Times New Roman"/>
          <w:szCs w:val="28"/>
          <w:lang w:eastAsia="uk-UA"/>
        </w:rPr>
        <w:t xml:space="preserve">Відтак, постає проблема відмежування групового порушення громадського порядку від суміжних злочинів. </w:t>
      </w:r>
    </w:p>
    <w:p w:rsidR="002072FC" w:rsidRDefault="002072FC" w:rsidP="00AD4AF0">
      <w:pPr>
        <w:ind w:firstLine="567"/>
        <w:jc w:val="both"/>
        <w:rPr>
          <w:rFonts w:eastAsia="Times New Roman"/>
          <w:szCs w:val="28"/>
          <w:lang w:eastAsia="uk-UA"/>
        </w:rPr>
      </w:pPr>
      <w:r>
        <w:rPr>
          <w:rFonts w:eastAsia="Times New Roman"/>
          <w:szCs w:val="28"/>
          <w:lang w:eastAsia="uk-UA"/>
        </w:rPr>
        <w:t>Так, г</w:t>
      </w:r>
      <w:r w:rsidRPr="00D06A72">
        <w:rPr>
          <w:rFonts w:eastAsia="Times New Roman"/>
          <w:szCs w:val="28"/>
          <w:lang w:eastAsia="uk-UA"/>
        </w:rPr>
        <w:t>рупове порушення громадського порядку (ст. 293 КК України) відрізняється від хуліганства (ст. 296 КК України) відсутністю обов</w:t>
      </w:r>
      <w:r>
        <w:rPr>
          <w:rFonts w:eastAsia="Times New Roman"/>
          <w:szCs w:val="28"/>
          <w:lang w:eastAsia="uk-UA"/>
        </w:rPr>
        <w:t>’</w:t>
      </w:r>
      <w:r w:rsidRPr="00D06A72">
        <w:rPr>
          <w:rFonts w:eastAsia="Times New Roman"/>
          <w:szCs w:val="28"/>
          <w:lang w:eastAsia="uk-UA"/>
        </w:rPr>
        <w:t xml:space="preserve">язкового мотиву (явної неповаги до суспільства), притаманного хуліганству. </w:t>
      </w:r>
    </w:p>
    <w:p w:rsidR="002072FC" w:rsidRPr="00F6596B" w:rsidRDefault="007402B3" w:rsidP="00AD4AF0">
      <w:pPr>
        <w:ind w:firstLine="567"/>
        <w:jc w:val="both"/>
        <w:rPr>
          <w:rFonts w:eastAsia="Times New Roman"/>
          <w:szCs w:val="28"/>
          <w:lang w:eastAsia="uk-UA"/>
        </w:rPr>
      </w:pPr>
      <w:r>
        <w:rPr>
          <w:rFonts w:eastAsia="Times New Roman"/>
          <w:szCs w:val="28"/>
          <w:lang w:eastAsia="uk-UA"/>
        </w:rPr>
        <w:t>При</w:t>
      </w:r>
      <w:r w:rsidR="002072FC" w:rsidRPr="00C16B4C">
        <w:rPr>
          <w:rFonts w:eastAsia="Times New Roman"/>
          <w:szCs w:val="28"/>
          <w:lang w:eastAsia="uk-UA"/>
        </w:rPr>
        <w:t xml:space="preserve"> хуліганстві</w:t>
      </w:r>
      <w:r>
        <w:rPr>
          <w:rFonts w:eastAsia="Times New Roman"/>
          <w:szCs w:val="28"/>
          <w:lang w:eastAsia="uk-UA"/>
        </w:rPr>
        <w:t>, вчиненого групою осіб</w:t>
      </w:r>
      <w:r w:rsidR="002072FC">
        <w:rPr>
          <w:rFonts w:eastAsia="Times New Roman"/>
          <w:szCs w:val="28"/>
          <w:lang w:eastAsia="uk-UA"/>
        </w:rPr>
        <w:t xml:space="preserve"> (ч. 2 ст. 296 КК України)</w:t>
      </w:r>
      <w:r w:rsidR="002072FC" w:rsidRPr="00C16B4C">
        <w:rPr>
          <w:rFonts w:eastAsia="Times New Roman"/>
          <w:szCs w:val="28"/>
          <w:lang w:eastAsia="uk-UA"/>
        </w:rPr>
        <w:t>, на відміну</w:t>
      </w:r>
      <w:r w:rsidR="002072FC">
        <w:rPr>
          <w:rFonts w:eastAsia="Times New Roman"/>
          <w:szCs w:val="28"/>
          <w:lang w:eastAsia="uk-UA"/>
        </w:rPr>
        <w:t xml:space="preserve"> </w:t>
      </w:r>
      <w:r w:rsidR="002072FC" w:rsidRPr="00C16B4C">
        <w:rPr>
          <w:rFonts w:eastAsia="Times New Roman"/>
          <w:szCs w:val="28"/>
          <w:lang w:eastAsia="uk-UA"/>
        </w:rPr>
        <w:t xml:space="preserve">від групового порушення громадського порядку, винні грубо порушують </w:t>
      </w:r>
      <w:r w:rsidR="002072FC" w:rsidRPr="00C16B4C">
        <w:rPr>
          <w:rFonts w:eastAsia="Times New Roman"/>
          <w:szCs w:val="28"/>
          <w:lang w:eastAsia="uk-UA"/>
        </w:rPr>
        <w:lastRenderedPageBreak/>
        <w:t>громадський</w:t>
      </w:r>
      <w:r w:rsidR="002072FC">
        <w:rPr>
          <w:rFonts w:eastAsia="Times New Roman"/>
          <w:szCs w:val="28"/>
          <w:lang w:eastAsia="uk-UA"/>
        </w:rPr>
        <w:t xml:space="preserve"> </w:t>
      </w:r>
      <w:r w:rsidR="002072FC" w:rsidRPr="00C16B4C">
        <w:rPr>
          <w:rFonts w:eastAsia="Times New Roman"/>
          <w:szCs w:val="28"/>
          <w:lang w:eastAsia="uk-UA"/>
        </w:rPr>
        <w:t>порядок винятково з мотивів явної неповаги</w:t>
      </w:r>
      <w:r w:rsidR="002072FC">
        <w:rPr>
          <w:rFonts w:eastAsia="Times New Roman"/>
          <w:szCs w:val="28"/>
          <w:lang w:eastAsia="uk-UA"/>
        </w:rPr>
        <w:t xml:space="preserve"> </w:t>
      </w:r>
      <w:r w:rsidR="002072FC" w:rsidRPr="00C16B4C">
        <w:rPr>
          <w:rFonts w:eastAsia="Times New Roman"/>
          <w:szCs w:val="28"/>
          <w:lang w:eastAsia="uk-UA"/>
        </w:rPr>
        <w:t>до суспільства. Групове порушення громадського порядку, поєднане із вчиненням дій,</w:t>
      </w:r>
      <w:r w:rsidR="002072FC">
        <w:rPr>
          <w:rFonts w:eastAsia="Times New Roman"/>
          <w:szCs w:val="28"/>
          <w:lang w:eastAsia="uk-UA"/>
        </w:rPr>
        <w:t xml:space="preserve"> </w:t>
      </w:r>
      <w:r w:rsidR="002072FC" w:rsidRPr="00C16B4C">
        <w:rPr>
          <w:rFonts w:eastAsia="Times New Roman"/>
          <w:szCs w:val="28"/>
          <w:lang w:eastAsia="uk-UA"/>
        </w:rPr>
        <w:t>що грубо порушують громадський порядок, з</w:t>
      </w:r>
      <w:r w:rsidR="002072FC">
        <w:rPr>
          <w:rFonts w:eastAsia="Times New Roman"/>
          <w:szCs w:val="28"/>
          <w:lang w:eastAsia="uk-UA"/>
        </w:rPr>
        <w:t xml:space="preserve"> </w:t>
      </w:r>
      <w:r w:rsidR="002072FC" w:rsidRPr="00C16B4C">
        <w:rPr>
          <w:rFonts w:eastAsia="Times New Roman"/>
          <w:szCs w:val="28"/>
          <w:lang w:eastAsia="uk-UA"/>
        </w:rPr>
        <w:t>мотивів явної неповаги до суспільства, становитиме сукупність злочинів. При цьому,</w:t>
      </w:r>
      <w:r w:rsidR="002072FC">
        <w:rPr>
          <w:rFonts w:eastAsia="Times New Roman"/>
          <w:szCs w:val="28"/>
          <w:lang w:eastAsia="uk-UA"/>
        </w:rPr>
        <w:t xml:space="preserve"> </w:t>
      </w:r>
      <w:r w:rsidR="002072FC" w:rsidRPr="00C16B4C">
        <w:rPr>
          <w:rFonts w:eastAsia="Times New Roman"/>
          <w:szCs w:val="28"/>
          <w:lang w:eastAsia="uk-UA"/>
        </w:rPr>
        <w:t>форми групових хуліганських дій можуть</w:t>
      </w:r>
      <w:r w:rsidR="002072FC">
        <w:rPr>
          <w:rFonts w:eastAsia="Times New Roman"/>
          <w:szCs w:val="28"/>
          <w:lang w:eastAsia="uk-UA"/>
        </w:rPr>
        <w:t xml:space="preserve"> </w:t>
      </w:r>
      <w:r w:rsidR="002072FC" w:rsidRPr="00C16B4C">
        <w:rPr>
          <w:rFonts w:eastAsia="Times New Roman"/>
          <w:szCs w:val="28"/>
          <w:lang w:eastAsia="uk-UA"/>
        </w:rPr>
        <w:t>бути найрізноманітнішими: нахабне, зухвале, цинічне порушення громадського спокою, нормального функціонування підприємств, організацій, масових заходів, роботи</w:t>
      </w:r>
      <w:r w:rsidR="002072FC">
        <w:rPr>
          <w:rFonts w:eastAsia="Times New Roman"/>
          <w:szCs w:val="28"/>
          <w:lang w:eastAsia="uk-UA"/>
        </w:rPr>
        <w:t xml:space="preserve"> </w:t>
      </w:r>
      <w:r w:rsidR="002072FC" w:rsidRPr="00C16B4C">
        <w:rPr>
          <w:rFonts w:eastAsia="Times New Roman"/>
          <w:szCs w:val="28"/>
          <w:lang w:eastAsia="uk-UA"/>
        </w:rPr>
        <w:t>транспорту, знущання над людьми, їх побиття, осквернення громадських та інших місць</w:t>
      </w:r>
      <w:r w:rsidR="002072FC">
        <w:rPr>
          <w:rFonts w:eastAsia="Times New Roman"/>
          <w:szCs w:val="28"/>
          <w:lang w:eastAsia="uk-UA"/>
        </w:rPr>
        <w:t xml:space="preserve"> </w:t>
      </w:r>
      <w:r w:rsidR="002072FC" w:rsidRPr="00C16B4C">
        <w:rPr>
          <w:rFonts w:eastAsia="Times New Roman"/>
          <w:szCs w:val="28"/>
          <w:lang w:eastAsia="uk-UA"/>
        </w:rPr>
        <w:t>роботи, відпочинку або побуту людей</w:t>
      </w:r>
      <w:r w:rsidR="002072FC">
        <w:rPr>
          <w:rFonts w:eastAsia="Times New Roman"/>
          <w:szCs w:val="28"/>
          <w:lang w:eastAsia="uk-UA"/>
        </w:rPr>
        <w:t xml:space="preserve"> </w:t>
      </w:r>
      <w:r w:rsidR="002072FC">
        <w:rPr>
          <w:szCs w:val="28"/>
          <w:lang w:eastAsia="uk-UA"/>
        </w:rPr>
        <w:t>[</w:t>
      </w:r>
      <w:r>
        <w:rPr>
          <w:szCs w:val="28"/>
          <w:lang w:eastAsia="uk-UA"/>
        </w:rPr>
        <w:t>1</w:t>
      </w:r>
      <w:r w:rsidR="002072FC">
        <w:rPr>
          <w:szCs w:val="28"/>
          <w:lang w:eastAsia="uk-UA"/>
        </w:rPr>
        <w:t>, с. 307]</w:t>
      </w:r>
      <w:r w:rsidR="002072FC" w:rsidRPr="00C16B4C">
        <w:rPr>
          <w:rFonts w:eastAsia="Times New Roman"/>
          <w:szCs w:val="28"/>
          <w:lang w:eastAsia="uk-UA"/>
        </w:rPr>
        <w:t>.</w:t>
      </w:r>
    </w:p>
    <w:p w:rsidR="002072FC" w:rsidRDefault="002072FC" w:rsidP="00AD4AF0">
      <w:pPr>
        <w:autoSpaceDE w:val="0"/>
        <w:autoSpaceDN w:val="0"/>
        <w:adjustRightInd w:val="0"/>
        <w:ind w:firstLine="567"/>
        <w:jc w:val="both"/>
        <w:rPr>
          <w:szCs w:val="28"/>
          <w:lang w:eastAsia="uk-UA"/>
        </w:rPr>
      </w:pPr>
      <w:r w:rsidRPr="00F6596B">
        <w:rPr>
          <w:szCs w:val="28"/>
          <w:lang w:eastAsia="uk-UA"/>
        </w:rPr>
        <w:t>На відміну від масових заворушень</w:t>
      </w:r>
      <w:r>
        <w:rPr>
          <w:szCs w:val="28"/>
          <w:lang w:eastAsia="uk-UA"/>
        </w:rPr>
        <w:t xml:space="preserve"> </w:t>
      </w:r>
      <w:r w:rsidRPr="00D06A72">
        <w:rPr>
          <w:rFonts w:eastAsia="Times New Roman"/>
          <w:szCs w:val="28"/>
          <w:lang w:eastAsia="uk-UA"/>
        </w:rPr>
        <w:t>(ст. 29</w:t>
      </w:r>
      <w:r>
        <w:rPr>
          <w:rFonts w:eastAsia="Times New Roman"/>
          <w:szCs w:val="28"/>
          <w:lang w:eastAsia="uk-UA"/>
        </w:rPr>
        <w:t>4</w:t>
      </w:r>
      <w:r w:rsidRPr="00D06A72">
        <w:rPr>
          <w:rFonts w:eastAsia="Times New Roman"/>
          <w:szCs w:val="28"/>
          <w:lang w:eastAsia="uk-UA"/>
        </w:rPr>
        <w:t xml:space="preserve"> КК України)</w:t>
      </w:r>
      <w:r w:rsidRPr="00F6596B">
        <w:rPr>
          <w:szCs w:val="28"/>
          <w:lang w:eastAsia="uk-UA"/>
        </w:rPr>
        <w:t xml:space="preserve"> для</w:t>
      </w:r>
      <w:r>
        <w:rPr>
          <w:szCs w:val="28"/>
          <w:lang w:eastAsia="uk-UA"/>
        </w:rPr>
        <w:t xml:space="preserve"> </w:t>
      </w:r>
      <w:r w:rsidRPr="00F6596B">
        <w:rPr>
          <w:szCs w:val="28"/>
          <w:lang w:eastAsia="uk-UA"/>
        </w:rPr>
        <w:t>групового порушення громадського порядку</w:t>
      </w:r>
      <w:r>
        <w:rPr>
          <w:szCs w:val="28"/>
          <w:lang w:eastAsia="uk-UA"/>
        </w:rPr>
        <w:t xml:space="preserve"> </w:t>
      </w:r>
      <w:r w:rsidRPr="00D06A72">
        <w:rPr>
          <w:rFonts w:eastAsia="Times New Roman"/>
          <w:szCs w:val="28"/>
          <w:lang w:eastAsia="uk-UA"/>
        </w:rPr>
        <w:t>(ст. 29</w:t>
      </w:r>
      <w:r>
        <w:rPr>
          <w:rFonts w:eastAsia="Times New Roman"/>
          <w:szCs w:val="28"/>
          <w:lang w:eastAsia="uk-UA"/>
        </w:rPr>
        <w:t>3</w:t>
      </w:r>
      <w:r w:rsidRPr="00D06A72">
        <w:rPr>
          <w:rFonts w:eastAsia="Times New Roman"/>
          <w:szCs w:val="28"/>
          <w:lang w:eastAsia="uk-UA"/>
        </w:rPr>
        <w:t xml:space="preserve"> КК України)</w:t>
      </w:r>
      <w:r>
        <w:rPr>
          <w:szCs w:val="28"/>
          <w:lang w:eastAsia="uk-UA"/>
        </w:rPr>
        <w:t xml:space="preserve"> </w:t>
      </w:r>
      <w:r w:rsidRPr="00F6596B">
        <w:rPr>
          <w:szCs w:val="28"/>
          <w:lang w:eastAsia="uk-UA"/>
        </w:rPr>
        <w:t>характерне лише грубе порушення громадського порядку (наприклад, блокування</w:t>
      </w:r>
      <w:r>
        <w:rPr>
          <w:szCs w:val="28"/>
          <w:lang w:eastAsia="uk-UA"/>
        </w:rPr>
        <w:t xml:space="preserve"> </w:t>
      </w:r>
      <w:r w:rsidRPr="00F6596B">
        <w:rPr>
          <w:szCs w:val="28"/>
          <w:lang w:eastAsia="uk-UA"/>
        </w:rPr>
        <w:t>транспорт</w:t>
      </w:r>
      <w:r>
        <w:rPr>
          <w:szCs w:val="28"/>
          <w:lang w:eastAsia="uk-UA"/>
        </w:rPr>
        <w:t>них шляхів, роботи державних ор</w:t>
      </w:r>
      <w:r w:rsidRPr="00F6596B">
        <w:rPr>
          <w:szCs w:val="28"/>
          <w:lang w:eastAsia="uk-UA"/>
        </w:rPr>
        <w:t>ганів влади та ін.) але з інших мотивів (наприклад, вимагання виплати затриманої заробітної платні; незгода з прийняттям органами державної влади певних рішень: підвищення вартості проїзду у міському транспорті, комунальних послуг та ін.). Масові ж</w:t>
      </w:r>
      <w:r>
        <w:rPr>
          <w:szCs w:val="28"/>
          <w:lang w:eastAsia="uk-UA"/>
        </w:rPr>
        <w:t xml:space="preserve"> </w:t>
      </w:r>
      <w:r w:rsidRPr="00F6596B">
        <w:rPr>
          <w:szCs w:val="28"/>
          <w:lang w:eastAsia="uk-UA"/>
        </w:rPr>
        <w:t>заворушення можуть супроводжуватися насильством над особою, погромами, підпалами, знищення майна, захоплення будівель</w:t>
      </w:r>
      <w:r>
        <w:rPr>
          <w:szCs w:val="28"/>
          <w:lang w:eastAsia="uk-UA"/>
        </w:rPr>
        <w:t xml:space="preserve"> </w:t>
      </w:r>
      <w:r w:rsidRPr="00F6596B">
        <w:rPr>
          <w:szCs w:val="28"/>
          <w:lang w:eastAsia="uk-UA"/>
        </w:rPr>
        <w:t>або споруд, насильницьким виселення громадян, опором представникам влади із застосуванням зброї або інших предметів</w:t>
      </w:r>
      <w:r w:rsidR="00A23590">
        <w:rPr>
          <w:szCs w:val="28"/>
          <w:lang w:eastAsia="uk-UA"/>
        </w:rPr>
        <w:t>, які використовуються як зброя</w:t>
      </w:r>
      <w:r>
        <w:rPr>
          <w:szCs w:val="28"/>
          <w:lang w:eastAsia="uk-UA"/>
        </w:rPr>
        <w:t xml:space="preserve"> [</w:t>
      </w:r>
      <w:r w:rsidR="007402B3">
        <w:rPr>
          <w:szCs w:val="28"/>
          <w:lang w:eastAsia="uk-UA"/>
        </w:rPr>
        <w:t>1</w:t>
      </w:r>
      <w:r>
        <w:rPr>
          <w:szCs w:val="28"/>
          <w:lang w:eastAsia="uk-UA"/>
        </w:rPr>
        <w:t>, с. 307].</w:t>
      </w:r>
    </w:p>
    <w:p w:rsidR="002072FC" w:rsidRDefault="002072FC" w:rsidP="00AD4AF0">
      <w:pPr>
        <w:autoSpaceDE w:val="0"/>
        <w:autoSpaceDN w:val="0"/>
        <w:adjustRightInd w:val="0"/>
        <w:ind w:firstLine="567"/>
        <w:jc w:val="both"/>
        <w:rPr>
          <w:rFonts w:eastAsia="Times New Roman"/>
          <w:szCs w:val="28"/>
          <w:lang w:eastAsia="uk-UA"/>
        </w:rPr>
      </w:pPr>
      <w:r w:rsidRPr="00C16B4C">
        <w:rPr>
          <w:rFonts w:eastAsia="Times New Roman"/>
          <w:szCs w:val="28"/>
          <w:lang w:eastAsia="uk-UA"/>
        </w:rPr>
        <w:t>Групове порушення громадського порядку</w:t>
      </w:r>
      <w:r>
        <w:rPr>
          <w:rFonts w:eastAsia="Times New Roman"/>
          <w:szCs w:val="28"/>
          <w:lang w:eastAsia="uk-UA"/>
        </w:rPr>
        <w:t xml:space="preserve"> </w:t>
      </w:r>
      <w:r w:rsidRPr="00D06A72">
        <w:rPr>
          <w:rFonts w:eastAsia="Times New Roman"/>
          <w:szCs w:val="28"/>
          <w:lang w:eastAsia="uk-UA"/>
        </w:rPr>
        <w:t>(ст. 29</w:t>
      </w:r>
      <w:r>
        <w:rPr>
          <w:rFonts w:eastAsia="Times New Roman"/>
          <w:szCs w:val="28"/>
          <w:lang w:eastAsia="uk-UA"/>
        </w:rPr>
        <w:t>3</w:t>
      </w:r>
      <w:r w:rsidRPr="00D06A72">
        <w:rPr>
          <w:rFonts w:eastAsia="Times New Roman"/>
          <w:szCs w:val="28"/>
          <w:lang w:eastAsia="uk-UA"/>
        </w:rPr>
        <w:t xml:space="preserve"> КК України)</w:t>
      </w:r>
      <w:r w:rsidRPr="00C16B4C">
        <w:rPr>
          <w:rFonts w:eastAsia="Times New Roman"/>
          <w:szCs w:val="28"/>
          <w:lang w:eastAsia="uk-UA"/>
        </w:rPr>
        <w:t xml:space="preserve"> на відміну від закликів до вчинення</w:t>
      </w:r>
      <w:r>
        <w:rPr>
          <w:rFonts w:eastAsia="Times New Roman"/>
          <w:szCs w:val="28"/>
          <w:lang w:eastAsia="uk-UA"/>
        </w:rPr>
        <w:t xml:space="preserve"> </w:t>
      </w:r>
      <w:r w:rsidRPr="00C16B4C">
        <w:rPr>
          <w:rFonts w:eastAsia="Times New Roman"/>
          <w:szCs w:val="28"/>
          <w:lang w:eastAsia="uk-UA"/>
        </w:rPr>
        <w:t>дій, що загрожують громадському порядку</w:t>
      </w:r>
      <w:r>
        <w:rPr>
          <w:rFonts w:eastAsia="Times New Roman"/>
          <w:szCs w:val="28"/>
          <w:lang w:eastAsia="uk-UA"/>
        </w:rPr>
        <w:t xml:space="preserve"> </w:t>
      </w:r>
      <w:r w:rsidRPr="00D06A72">
        <w:rPr>
          <w:rFonts w:eastAsia="Times New Roman"/>
          <w:szCs w:val="28"/>
          <w:lang w:eastAsia="uk-UA"/>
        </w:rPr>
        <w:t>(ст. 29</w:t>
      </w:r>
      <w:r>
        <w:rPr>
          <w:rFonts w:eastAsia="Times New Roman"/>
          <w:szCs w:val="28"/>
          <w:lang w:eastAsia="uk-UA"/>
        </w:rPr>
        <w:t>5</w:t>
      </w:r>
      <w:r w:rsidRPr="00D06A72">
        <w:rPr>
          <w:rFonts w:eastAsia="Times New Roman"/>
          <w:szCs w:val="28"/>
          <w:lang w:eastAsia="uk-UA"/>
        </w:rPr>
        <w:t xml:space="preserve"> КК України)</w:t>
      </w:r>
      <w:r w:rsidRPr="00C16B4C">
        <w:rPr>
          <w:rFonts w:eastAsia="Times New Roman"/>
          <w:szCs w:val="28"/>
          <w:lang w:eastAsia="uk-UA"/>
        </w:rPr>
        <w:t>,</w:t>
      </w:r>
      <w:r>
        <w:rPr>
          <w:rFonts w:eastAsia="Times New Roman"/>
          <w:szCs w:val="28"/>
          <w:lang w:eastAsia="uk-UA"/>
        </w:rPr>
        <w:t xml:space="preserve"> </w:t>
      </w:r>
      <w:r w:rsidRPr="00C16B4C">
        <w:rPr>
          <w:rFonts w:eastAsia="Times New Roman"/>
          <w:szCs w:val="28"/>
          <w:lang w:eastAsia="uk-UA"/>
        </w:rPr>
        <w:t>не супроводжується закликами до погромів,</w:t>
      </w:r>
      <w:r>
        <w:rPr>
          <w:rFonts w:eastAsia="Times New Roman"/>
          <w:szCs w:val="28"/>
          <w:lang w:eastAsia="uk-UA"/>
        </w:rPr>
        <w:t xml:space="preserve"> </w:t>
      </w:r>
      <w:r w:rsidRPr="00C16B4C">
        <w:rPr>
          <w:rFonts w:eastAsia="Times New Roman"/>
          <w:szCs w:val="28"/>
          <w:lang w:eastAsia="uk-UA"/>
        </w:rPr>
        <w:t>підпалів, знищення майна, захоплення будівель чи закликами до насильницького виселення громадян.</w:t>
      </w:r>
    </w:p>
    <w:p w:rsidR="002072FC" w:rsidRDefault="002072FC" w:rsidP="00AD4AF0">
      <w:pPr>
        <w:autoSpaceDE w:val="0"/>
        <w:autoSpaceDN w:val="0"/>
        <w:adjustRightInd w:val="0"/>
        <w:ind w:firstLine="567"/>
        <w:jc w:val="both"/>
        <w:rPr>
          <w:rFonts w:eastAsia="Times New Roman"/>
          <w:szCs w:val="28"/>
          <w:lang w:eastAsia="uk-UA"/>
        </w:rPr>
      </w:pPr>
      <w:r>
        <w:rPr>
          <w:rFonts w:eastAsia="Times New Roman"/>
          <w:szCs w:val="28"/>
          <w:lang w:eastAsia="uk-UA"/>
        </w:rPr>
        <w:t xml:space="preserve">Отже, кримінальна відповідальність за групове порушення громадського порядку являє собою </w:t>
      </w:r>
      <w:r w:rsidRPr="00D06A72">
        <w:rPr>
          <w:rFonts w:eastAsia="Times New Roman"/>
          <w:szCs w:val="28"/>
          <w:lang w:eastAsia="uk-UA"/>
        </w:rPr>
        <w:t>штраф до п</w:t>
      </w:r>
      <w:r>
        <w:rPr>
          <w:rFonts w:eastAsia="Times New Roman"/>
          <w:szCs w:val="28"/>
          <w:lang w:eastAsia="uk-UA"/>
        </w:rPr>
        <w:t>’</w:t>
      </w:r>
      <w:r w:rsidRPr="00D06A72">
        <w:rPr>
          <w:rFonts w:eastAsia="Times New Roman"/>
          <w:szCs w:val="28"/>
          <w:lang w:eastAsia="uk-UA"/>
        </w:rPr>
        <w:t>ятдесяти неоподатковуваних мінімумів доходів громадян або арешт на строк до шести місяців</w:t>
      </w:r>
      <w:r>
        <w:rPr>
          <w:rFonts w:eastAsia="Times New Roman"/>
          <w:szCs w:val="28"/>
          <w:lang w:eastAsia="uk-UA"/>
        </w:rPr>
        <w:t>, що свідчить про належність даного злочину до категорії злочинів невеликої тяжкості. Не зважаючи на близькість складів злочинів, передбачених ст.ст. 293-296 КК України, вони містять окремі ознаки, що дозволяють розмежувати зазначені злочини.</w:t>
      </w:r>
    </w:p>
    <w:p w:rsidR="00AD4AF0" w:rsidRDefault="00DF2A29" w:rsidP="00AD4AF0">
      <w:pPr>
        <w:ind w:firstLine="567"/>
        <w:jc w:val="both"/>
        <w:rPr>
          <w:color w:val="000000" w:themeColor="text1"/>
          <w:szCs w:val="28"/>
        </w:rPr>
      </w:pPr>
      <w:r w:rsidRPr="00DF2A29">
        <w:rPr>
          <w:color w:val="000000" w:themeColor="text1"/>
          <w:szCs w:val="28"/>
          <w:shd w:val="clear" w:color="auto" w:fill="FFFFFF"/>
        </w:rPr>
        <w:lastRenderedPageBreak/>
        <w:t>Вивче</w:t>
      </w:r>
      <w:r w:rsidR="00B17F02">
        <w:rPr>
          <w:color w:val="000000" w:themeColor="text1"/>
          <w:szCs w:val="28"/>
          <w:shd w:val="clear" w:color="auto" w:fill="FFFFFF"/>
        </w:rPr>
        <w:t>ння</w:t>
      </w:r>
      <w:r w:rsidRPr="00DF2A29">
        <w:rPr>
          <w:color w:val="000000" w:themeColor="text1"/>
          <w:szCs w:val="28"/>
          <w:shd w:val="clear" w:color="auto" w:fill="FFFFFF"/>
        </w:rPr>
        <w:t xml:space="preserve"> співвідношення санкції ст. 293 КК України із санкціями суміжних злочинів свідчить, що віднесення злочину, передбаченого ст. 293 КК України, до злочинів невелико</w:t>
      </w:r>
      <w:r w:rsidR="00B17F02">
        <w:rPr>
          <w:color w:val="000000" w:themeColor="text1"/>
          <w:szCs w:val="28"/>
          <w:shd w:val="clear" w:color="auto" w:fill="FFFFFF"/>
        </w:rPr>
        <w:t>ї тяжкості є невиправданим.</w:t>
      </w:r>
      <w:r w:rsidRPr="00DF2A29">
        <w:rPr>
          <w:color w:val="000000" w:themeColor="text1"/>
          <w:szCs w:val="28"/>
          <w:shd w:val="clear" w:color="auto" w:fill="FFFFFF"/>
        </w:rPr>
        <w:t xml:space="preserve"> Збільшення верхніх меж санкції злочину, передбаченого ст. 293 КК України, а також її розширення за рахунок інших видів покарання є перспективним напрямом удосконалення кримінального законодавства України в цій сфері.</w:t>
      </w:r>
      <w:r w:rsidRPr="00DF2A29">
        <w:rPr>
          <w:rStyle w:val="apple-converted-space"/>
          <w:color w:val="000000" w:themeColor="text1"/>
          <w:szCs w:val="28"/>
          <w:shd w:val="clear" w:color="auto" w:fill="FFFFFF"/>
        </w:rPr>
        <w:t> </w:t>
      </w:r>
    </w:p>
    <w:p w:rsidR="00AD4AF0" w:rsidRDefault="00DF2A29" w:rsidP="00AD4AF0">
      <w:pPr>
        <w:ind w:firstLine="567"/>
        <w:jc w:val="both"/>
        <w:rPr>
          <w:color w:val="000000" w:themeColor="text1"/>
          <w:szCs w:val="28"/>
        </w:rPr>
      </w:pPr>
      <w:r w:rsidRPr="00DF2A29">
        <w:rPr>
          <w:color w:val="000000" w:themeColor="text1"/>
          <w:szCs w:val="28"/>
          <w:shd w:val="clear" w:color="auto" w:fill="FFFFFF"/>
        </w:rPr>
        <w:t>Підсу</w:t>
      </w:r>
      <w:r w:rsidR="00A23590">
        <w:rPr>
          <w:color w:val="000000" w:themeColor="text1"/>
          <w:szCs w:val="28"/>
          <w:shd w:val="clear" w:color="auto" w:fill="FFFFFF"/>
        </w:rPr>
        <w:t xml:space="preserve">мовуючи викладене, </w:t>
      </w:r>
      <w:r w:rsidRPr="00DF2A29">
        <w:rPr>
          <w:color w:val="000000" w:themeColor="text1"/>
          <w:szCs w:val="28"/>
          <w:shd w:val="clear" w:color="auto" w:fill="FFFFFF"/>
        </w:rPr>
        <w:t>доцільно врахув</w:t>
      </w:r>
      <w:r w:rsidR="007402B3">
        <w:rPr>
          <w:color w:val="000000" w:themeColor="text1"/>
          <w:szCs w:val="28"/>
          <w:shd w:val="clear" w:color="auto" w:fill="FFFFFF"/>
        </w:rPr>
        <w:t xml:space="preserve">ати такі законодавчі пропозиції щодо заохочувальної норми, яку потрібно викласти </w:t>
      </w:r>
      <w:r w:rsidR="00841AD4">
        <w:rPr>
          <w:color w:val="000000" w:themeColor="text1"/>
          <w:szCs w:val="28"/>
          <w:shd w:val="clear" w:color="auto" w:fill="FFFFFF"/>
        </w:rPr>
        <w:t>в наступній редакції:</w:t>
      </w:r>
    </w:p>
    <w:p w:rsidR="003960A8" w:rsidRDefault="00841AD4" w:rsidP="00AD4AF0">
      <w:pPr>
        <w:ind w:firstLine="567"/>
        <w:jc w:val="both"/>
        <w:rPr>
          <w:color w:val="000000" w:themeColor="text1"/>
          <w:szCs w:val="28"/>
          <w:shd w:val="clear" w:color="auto" w:fill="FFFFFF"/>
        </w:rPr>
      </w:pPr>
      <w:r>
        <w:rPr>
          <w:color w:val="000000" w:themeColor="text1"/>
          <w:szCs w:val="28"/>
          <w:shd w:val="clear" w:color="auto" w:fill="FFFFFF"/>
        </w:rPr>
        <w:t xml:space="preserve">- </w:t>
      </w:r>
      <w:r w:rsidR="00DF2A29" w:rsidRPr="00DF2A29">
        <w:rPr>
          <w:color w:val="000000" w:themeColor="text1"/>
          <w:szCs w:val="28"/>
          <w:shd w:val="clear" w:color="auto" w:fill="FFFFFF"/>
        </w:rPr>
        <w:t>Звільняється від кримінальної відповідальності за дії, передбачені частиною першою цієї статті, особа, крім організатора групового порушення громадського порядку, яка на вимогу уповноваженої службової особи органу місцевого самоврядування чи правоохоронного органу припинила злочинні дії та активно сприя</w:t>
      </w:r>
      <w:r w:rsidR="00AD4AF0">
        <w:rPr>
          <w:color w:val="000000" w:themeColor="text1"/>
          <w:szCs w:val="28"/>
          <w:shd w:val="clear" w:color="auto" w:fill="FFFFFF"/>
        </w:rPr>
        <w:t>ла розкриттю злочину (злочинів)</w:t>
      </w:r>
      <w:r w:rsidR="00DF2A29" w:rsidRPr="00DF2A29">
        <w:rPr>
          <w:color w:val="000000" w:themeColor="text1"/>
          <w:szCs w:val="28"/>
          <w:shd w:val="clear" w:color="auto" w:fill="FFFFFF"/>
        </w:rPr>
        <w:t>.</w:t>
      </w:r>
    </w:p>
    <w:p w:rsidR="00C874B2" w:rsidRDefault="00C874B2" w:rsidP="00C874B2">
      <w:pPr>
        <w:ind w:firstLine="567"/>
        <w:jc w:val="center"/>
        <w:rPr>
          <w:color w:val="000000" w:themeColor="text1"/>
          <w:szCs w:val="28"/>
        </w:rPr>
      </w:pPr>
      <w:r>
        <w:rPr>
          <w:color w:val="000000" w:themeColor="text1"/>
          <w:szCs w:val="28"/>
        </w:rPr>
        <w:t>Використані джерела:</w:t>
      </w:r>
    </w:p>
    <w:p w:rsidR="00841AD4" w:rsidRPr="00841AD4" w:rsidRDefault="00841AD4" w:rsidP="00C874B2">
      <w:pPr>
        <w:pStyle w:val="a3"/>
        <w:numPr>
          <w:ilvl w:val="0"/>
          <w:numId w:val="1"/>
        </w:numPr>
        <w:jc w:val="both"/>
        <w:rPr>
          <w:color w:val="000000" w:themeColor="text1"/>
          <w:szCs w:val="28"/>
        </w:rPr>
      </w:pPr>
      <w:r w:rsidRPr="00D06A72">
        <w:rPr>
          <w:szCs w:val="28"/>
        </w:rPr>
        <w:t xml:space="preserve">Олiйничук Р. П. Відмежування групового порушення громадського порядку від суміжних злочинів [Електронний ресурс] / Р. П. </w:t>
      </w:r>
      <w:r>
        <w:rPr>
          <w:szCs w:val="28"/>
        </w:rPr>
        <w:t>Олiйничук // Форум права. – 2014</w:t>
      </w:r>
      <w:r w:rsidRPr="00D06A72">
        <w:rPr>
          <w:szCs w:val="28"/>
        </w:rPr>
        <w:t xml:space="preserve">. – № 2. – С. 301-308. – Режим доступу: </w:t>
      </w:r>
      <w:hyperlink r:id="rId8" w:history="1">
        <w:r w:rsidRPr="002148F0">
          <w:rPr>
            <w:rStyle w:val="aa"/>
            <w:szCs w:val="28"/>
          </w:rPr>
          <w:t>http://nbuv.gov.ua/j-pdf/FP_index.htm_2014_2_47.pdf</w:t>
        </w:r>
      </w:hyperlink>
    </w:p>
    <w:p w:rsidR="00841AD4" w:rsidRPr="00841AD4" w:rsidRDefault="00841AD4" w:rsidP="00C874B2">
      <w:pPr>
        <w:pStyle w:val="a3"/>
        <w:numPr>
          <w:ilvl w:val="0"/>
          <w:numId w:val="1"/>
        </w:numPr>
        <w:jc w:val="both"/>
        <w:rPr>
          <w:color w:val="000000" w:themeColor="text1"/>
          <w:szCs w:val="28"/>
        </w:rPr>
      </w:pPr>
      <w:r>
        <w:t>Кримінальне право України: Особлива частина : підручник [для студентів юрид. ву- зів і фак.] / Г. В. Андрусів, П. П. Андрушко, С. Я. Лихова та ін. ; за ред. П. С. Матишевського та ін. – К. : Юрінком Інтер, 2006. – 896 с.</w:t>
      </w:r>
    </w:p>
    <w:p w:rsidR="00C874B2" w:rsidRDefault="00C874B2" w:rsidP="00C874B2">
      <w:pPr>
        <w:pStyle w:val="a3"/>
        <w:numPr>
          <w:ilvl w:val="0"/>
          <w:numId w:val="1"/>
        </w:numPr>
        <w:jc w:val="both"/>
        <w:rPr>
          <w:color w:val="000000" w:themeColor="text1"/>
          <w:szCs w:val="28"/>
        </w:rPr>
      </w:pPr>
      <w:r w:rsidRPr="004E7948">
        <w:rPr>
          <w:color w:val="000000" w:themeColor="text1"/>
          <w:szCs w:val="28"/>
        </w:rPr>
        <w:t>Кримінальний кодекс України // Відомості Верховної Ради України – 2001. - № 25-26. – Ст. 288.</w:t>
      </w:r>
    </w:p>
    <w:p w:rsidR="00C874B2" w:rsidRDefault="00AF76DD" w:rsidP="00C874B2">
      <w:pPr>
        <w:pStyle w:val="a3"/>
        <w:numPr>
          <w:ilvl w:val="0"/>
          <w:numId w:val="1"/>
        </w:numPr>
        <w:jc w:val="both"/>
        <w:rPr>
          <w:color w:val="000000" w:themeColor="text1"/>
          <w:szCs w:val="28"/>
        </w:rPr>
      </w:pPr>
      <w:r w:rsidRPr="004E7948">
        <w:rPr>
          <w:color w:val="000000" w:themeColor="text1"/>
          <w:szCs w:val="28"/>
        </w:rPr>
        <w:t>Кодекс про адміністративні правопорушення // Відомості Верховної Ради України. – 1984. – Додаток до №51. – Ст. 1122.</w:t>
      </w:r>
      <w:bookmarkEnd w:id="0"/>
    </w:p>
    <w:p w:rsidR="00AF76DD" w:rsidRPr="00841AD4" w:rsidRDefault="00AF76DD" w:rsidP="00841AD4">
      <w:pPr>
        <w:jc w:val="both"/>
        <w:rPr>
          <w:color w:val="000000" w:themeColor="text1"/>
          <w:szCs w:val="28"/>
        </w:rPr>
      </w:pPr>
    </w:p>
    <w:sectPr w:rsidR="00AF76DD" w:rsidRPr="00841AD4" w:rsidSect="007D2796">
      <w:footerReference w:type="default" r:id="rId9"/>
      <w:pgSz w:w="11906" w:h="16838"/>
      <w:pgMar w:top="851" w:right="851"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8C" w:rsidRDefault="00806B8C" w:rsidP="00785F0A">
      <w:pPr>
        <w:spacing w:line="240" w:lineRule="auto"/>
      </w:pPr>
      <w:r>
        <w:separator/>
      </w:r>
    </w:p>
  </w:endnote>
  <w:endnote w:type="continuationSeparator" w:id="0">
    <w:p w:rsidR="00806B8C" w:rsidRDefault="00806B8C" w:rsidP="00785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57659"/>
      <w:docPartObj>
        <w:docPartGallery w:val="Page Numbers (Bottom of Page)"/>
        <w:docPartUnique/>
      </w:docPartObj>
    </w:sdtPr>
    <w:sdtEndPr/>
    <w:sdtContent>
      <w:p w:rsidR="00785F0A" w:rsidRDefault="00785F0A">
        <w:pPr>
          <w:pStyle w:val="a6"/>
          <w:jc w:val="right"/>
        </w:pPr>
        <w:r>
          <w:fldChar w:fldCharType="begin"/>
        </w:r>
        <w:r>
          <w:instrText>PAGE   \* MERGEFORMAT</w:instrText>
        </w:r>
        <w:r>
          <w:fldChar w:fldCharType="separate"/>
        </w:r>
        <w:r w:rsidR="006B53A5" w:rsidRPr="006B53A5">
          <w:rPr>
            <w:noProof/>
            <w:lang w:val="ru-RU"/>
          </w:rPr>
          <w:t>3</w:t>
        </w:r>
        <w:r>
          <w:fldChar w:fldCharType="end"/>
        </w:r>
      </w:p>
    </w:sdtContent>
  </w:sdt>
  <w:p w:rsidR="00785F0A" w:rsidRDefault="00785F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8C" w:rsidRDefault="00806B8C" w:rsidP="00785F0A">
      <w:pPr>
        <w:spacing w:line="240" w:lineRule="auto"/>
      </w:pPr>
      <w:r>
        <w:separator/>
      </w:r>
    </w:p>
  </w:footnote>
  <w:footnote w:type="continuationSeparator" w:id="0">
    <w:p w:rsidR="00806B8C" w:rsidRDefault="00806B8C" w:rsidP="00785F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FA7"/>
    <w:multiLevelType w:val="hybridMultilevel"/>
    <w:tmpl w:val="3CA4B156"/>
    <w:lvl w:ilvl="0" w:tplc="F0826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FC"/>
    <w:rsid w:val="00026CD2"/>
    <w:rsid w:val="000A1387"/>
    <w:rsid w:val="00205B74"/>
    <w:rsid w:val="002072FC"/>
    <w:rsid w:val="002E7C78"/>
    <w:rsid w:val="003960A8"/>
    <w:rsid w:val="006B53A5"/>
    <w:rsid w:val="007073D8"/>
    <w:rsid w:val="007402B3"/>
    <w:rsid w:val="00785F0A"/>
    <w:rsid w:val="007A0452"/>
    <w:rsid w:val="007D2796"/>
    <w:rsid w:val="00806B8C"/>
    <w:rsid w:val="0081691A"/>
    <w:rsid w:val="00841AD4"/>
    <w:rsid w:val="00A23590"/>
    <w:rsid w:val="00A96024"/>
    <w:rsid w:val="00AD4AF0"/>
    <w:rsid w:val="00AF76DD"/>
    <w:rsid w:val="00B17F02"/>
    <w:rsid w:val="00B96511"/>
    <w:rsid w:val="00C3594A"/>
    <w:rsid w:val="00C874B2"/>
    <w:rsid w:val="00DF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FC"/>
    <w:pPr>
      <w:spacing w:after="0" w:line="360" w:lineRule="auto"/>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2A29"/>
  </w:style>
  <w:style w:type="paragraph" w:styleId="a3">
    <w:name w:val="List Paragraph"/>
    <w:basedOn w:val="a"/>
    <w:uiPriority w:val="34"/>
    <w:qFormat/>
    <w:rsid w:val="00C874B2"/>
    <w:pPr>
      <w:ind w:left="720"/>
      <w:contextualSpacing/>
    </w:pPr>
  </w:style>
  <w:style w:type="paragraph" w:styleId="a4">
    <w:name w:val="header"/>
    <w:basedOn w:val="a"/>
    <w:link w:val="a5"/>
    <w:uiPriority w:val="99"/>
    <w:unhideWhenUsed/>
    <w:rsid w:val="00785F0A"/>
    <w:pPr>
      <w:tabs>
        <w:tab w:val="center" w:pos="4677"/>
        <w:tab w:val="right" w:pos="9355"/>
      </w:tabs>
      <w:spacing w:line="240" w:lineRule="auto"/>
    </w:pPr>
  </w:style>
  <w:style w:type="character" w:customStyle="1" w:styleId="a5">
    <w:name w:val="Верхний колонтитул Знак"/>
    <w:basedOn w:val="a0"/>
    <w:link w:val="a4"/>
    <w:uiPriority w:val="99"/>
    <w:rsid w:val="00785F0A"/>
    <w:rPr>
      <w:rFonts w:ascii="Times New Roman" w:eastAsia="Calibri" w:hAnsi="Times New Roman" w:cs="Times New Roman"/>
      <w:sz w:val="28"/>
      <w:lang w:val="uk-UA"/>
    </w:rPr>
  </w:style>
  <w:style w:type="paragraph" w:styleId="a6">
    <w:name w:val="footer"/>
    <w:basedOn w:val="a"/>
    <w:link w:val="a7"/>
    <w:uiPriority w:val="99"/>
    <w:unhideWhenUsed/>
    <w:rsid w:val="00785F0A"/>
    <w:pPr>
      <w:tabs>
        <w:tab w:val="center" w:pos="4677"/>
        <w:tab w:val="right" w:pos="9355"/>
      </w:tabs>
      <w:spacing w:line="240" w:lineRule="auto"/>
    </w:pPr>
  </w:style>
  <w:style w:type="character" w:customStyle="1" w:styleId="a7">
    <w:name w:val="Нижний колонтитул Знак"/>
    <w:basedOn w:val="a0"/>
    <w:link w:val="a6"/>
    <w:uiPriority w:val="99"/>
    <w:rsid w:val="00785F0A"/>
    <w:rPr>
      <w:rFonts w:ascii="Times New Roman" w:eastAsia="Calibri" w:hAnsi="Times New Roman" w:cs="Times New Roman"/>
      <w:sz w:val="28"/>
      <w:lang w:val="uk-UA"/>
    </w:rPr>
  </w:style>
  <w:style w:type="paragraph" w:styleId="a8">
    <w:name w:val="Balloon Text"/>
    <w:basedOn w:val="a"/>
    <w:link w:val="a9"/>
    <w:uiPriority w:val="99"/>
    <w:semiHidden/>
    <w:unhideWhenUsed/>
    <w:rsid w:val="00785F0A"/>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5F0A"/>
    <w:rPr>
      <w:rFonts w:ascii="Segoe UI" w:eastAsia="Calibri" w:hAnsi="Segoe UI" w:cs="Segoe UI"/>
      <w:sz w:val="18"/>
      <w:szCs w:val="18"/>
      <w:lang w:val="uk-UA"/>
    </w:rPr>
  </w:style>
  <w:style w:type="character" w:styleId="aa">
    <w:name w:val="Hyperlink"/>
    <w:basedOn w:val="a0"/>
    <w:uiPriority w:val="99"/>
    <w:unhideWhenUsed/>
    <w:rsid w:val="00841A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FC"/>
    <w:pPr>
      <w:spacing w:after="0" w:line="360" w:lineRule="auto"/>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2A29"/>
  </w:style>
  <w:style w:type="paragraph" w:styleId="a3">
    <w:name w:val="List Paragraph"/>
    <w:basedOn w:val="a"/>
    <w:uiPriority w:val="34"/>
    <w:qFormat/>
    <w:rsid w:val="00C874B2"/>
    <w:pPr>
      <w:ind w:left="720"/>
      <w:contextualSpacing/>
    </w:pPr>
  </w:style>
  <w:style w:type="paragraph" w:styleId="a4">
    <w:name w:val="header"/>
    <w:basedOn w:val="a"/>
    <w:link w:val="a5"/>
    <w:uiPriority w:val="99"/>
    <w:unhideWhenUsed/>
    <w:rsid w:val="00785F0A"/>
    <w:pPr>
      <w:tabs>
        <w:tab w:val="center" w:pos="4677"/>
        <w:tab w:val="right" w:pos="9355"/>
      </w:tabs>
      <w:spacing w:line="240" w:lineRule="auto"/>
    </w:pPr>
  </w:style>
  <w:style w:type="character" w:customStyle="1" w:styleId="a5">
    <w:name w:val="Верхний колонтитул Знак"/>
    <w:basedOn w:val="a0"/>
    <w:link w:val="a4"/>
    <w:uiPriority w:val="99"/>
    <w:rsid w:val="00785F0A"/>
    <w:rPr>
      <w:rFonts w:ascii="Times New Roman" w:eastAsia="Calibri" w:hAnsi="Times New Roman" w:cs="Times New Roman"/>
      <w:sz w:val="28"/>
      <w:lang w:val="uk-UA"/>
    </w:rPr>
  </w:style>
  <w:style w:type="paragraph" w:styleId="a6">
    <w:name w:val="footer"/>
    <w:basedOn w:val="a"/>
    <w:link w:val="a7"/>
    <w:uiPriority w:val="99"/>
    <w:unhideWhenUsed/>
    <w:rsid w:val="00785F0A"/>
    <w:pPr>
      <w:tabs>
        <w:tab w:val="center" w:pos="4677"/>
        <w:tab w:val="right" w:pos="9355"/>
      </w:tabs>
      <w:spacing w:line="240" w:lineRule="auto"/>
    </w:pPr>
  </w:style>
  <w:style w:type="character" w:customStyle="1" w:styleId="a7">
    <w:name w:val="Нижний колонтитул Знак"/>
    <w:basedOn w:val="a0"/>
    <w:link w:val="a6"/>
    <w:uiPriority w:val="99"/>
    <w:rsid w:val="00785F0A"/>
    <w:rPr>
      <w:rFonts w:ascii="Times New Roman" w:eastAsia="Calibri" w:hAnsi="Times New Roman" w:cs="Times New Roman"/>
      <w:sz w:val="28"/>
      <w:lang w:val="uk-UA"/>
    </w:rPr>
  </w:style>
  <w:style w:type="paragraph" w:styleId="a8">
    <w:name w:val="Balloon Text"/>
    <w:basedOn w:val="a"/>
    <w:link w:val="a9"/>
    <w:uiPriority w:val="99"/>
    <w:semiHidden/>
    <w:unhideWhenUsed/>
    <w:rsid w:val="00785F0A"/>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5F0A"/>
    <w:rPr>
      <w:rFonts w:ascii="Segoe UI" w:eastAsia="Calibri" w:hAnsi="Segoe UI" w:cs="Segoe UI"/>
      <w:sz w:val="18"/>
      <w:szCs w:val="18"/>
      <w:lang w:val="uk-UA"/>
    </w:rPr>
  </w:style>
  <w:style w:type="character" w:styleId="aa">
    <w:name w:val="Hyperlink"/>
    <w:basedOn w:val="a0"/>
    <w:uiPriority w:val="99"/>
    <w:unhideWhenUsed/>
    <w:rsid w:val="00841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j-pdf/FP_index.htm_2014_2_4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3460</Words>
  <Characters>1973</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П6</cp:lastModifiedBy>
  <cp:revision>4</cp:revision>
  <cp:lastPrinted>2017-03-30T05:41:00Z</cp:lastPrinted>
  <dcterms:created xsi:type="dcterms:W3CDTF">2017-04-07T09:51:00Z</dcterms:created>
  <dcterms:modified xsi:type="dcterms:W3CDTF">2017-04-23T12:58:00Z</dcterms:modified>
</cp:coreProperties>
</file>