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6A2381" w:rsidRPr="006A2381">
        <w:rPr>
          <w:b/>
          <w:sz w:val="28"/>
          <w:szCs w:val="28"/>
          <w:lang w:val="ru-RU"/>
        </w:rPr>
        <w:t>Регулювання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спадкових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правовідносин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у </w:t>
      </w:r>
      <w:proofErr w:type="spellStart"/>
      <w:r w:rsidR="006A2381" w:rsidRPr="006A2381">
        <w:rPr>
          <w:b/>
          <w:sz w:val="28"/>
          <w:szCs w:val="28"/>
          <w:lang w:val="ru-RU"/>
        </w:rPr>
        <w:t>нотаріальному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процесі</w:t>
      </w:r>
      <w:proofErr w:type="spellEnd"/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5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E82D7B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E82D7B">
        <w:rPr>
          <w:color w:val="000000"/>
          <w:sz w:val="28"/>
          <w:szCs w:val="28"/>
          <w:u w:val="single"/>
          <w:lang w:val="uk-UA" w:eastAsia="ar-SA"/>
        </w:rPr>
        <w:t>081.5/16з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(Суд. Адвокатура. Прокуратура. Нотаріат)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6A2381">
        <w:rPr>
          <w:color w:val="000000"/>
          <w:sz w:val="28"/>
          <w:szCs w:val="28"/>
          <w:u w:val="single"/>
          <w:lang w:val="uk-UA" w:eastAsia="ar-SA"/>
        </w:rPr>
        <w:t>ст. викладач Коновал Н.Ю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теоретико-практичні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є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3.1.1. </w:t>
      </w:r>
      <w:proofErr w:type="spellStart"/>
      <w:r w:rsidRPr="000D61F1">
        <w:rPr>
          <w:sz w:val="28"/>
          <w:szCs w:val="28"/>
          <w:lang w:val="ru-RU"/>
        </w:rPr>
        <w:t>Конституція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1996. – № 30. – С.141.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3.1.2. </w:t>
      </w:r>
      <w:proofErr w:type="spellStart"/>
      <w:r w:rsidRPr="000D61F1">
        <w:rPr>
          <w:sz w:val="28"/>
          <w:szCs w:val="28"/>
          <w:lang w:val="ru-RU"/>
        </w:rPr>
        <w:t>Цивільний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2003. – № 40. – С. 356.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3.1.3. </w:t>
      </w:r>
      <w:proofErr w:type="spellStart"/>
      <w:r w:rsidRPr="000D61F1">
        <w:rPr>
          <w:sz w:val="28"/>
          <w:szCs w:val="28"/>
          <w:lang w:val="ru-RU"/>
        </w:rPr>
        <w:t>Сімейний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2002. – № 21. – С. 135.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3.1.4. Про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: Закон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2.09.1993 року № 3425-ХІІ // </w:t>
      </w:r>
      <w:proofErr w:type="spellStart"/>
      <w:r w:rsidRPr="000D61F1">
        <w:rPr>
          <w:sz w:val="28"/>
          <w:szCs w:val="28"/>
          <w:lang w:val="ru-RU"/>
        </w:rPr>
        <w:t>Відомості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</w:t>
      </w:r>
      <w:proofErr w:type="gramStart"/>
      <w:r w:rsidRPr="000D61F1">
        <w:rPr>
          <w:sz w:val="28"/>
          <w:szCs w:val="28"/>
          <w:lang w:val="ru-RU"/>
        </w:rPr>
        <w:t>ї</w:t>
      </w:r>
      <w:proofErr w:type="spellEnd"/>
      <w:r w:rsidRPr="000D61F1">
        <w:rPr>
          <w:sz w:val="28"/>
          <w:szCs w:val="28"/>
          <w:lang w:val="ru-RU"/>
        </w:rPr>
        <w:t xml:space="preserve"> Р</w:t>
      </w:r>
      <w:proofErr w:type="gramEnd"/>
      <w:r w:rsidRPr="000D61F1">
        <w:rPr>
          <w:sz w:val="28"/>
          <w:szCs w:val="28"/>
          <w:lang w:val="ru-RU"/>
        </w:rPr>
        <w:t xml:space="preserve">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39. – С. 383.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3.1.5. Порядок </w:t>
      </w:r>
      <w:proofErr w:type="spellStart"/>
      <w:r w:rsidRPr="000D61F1">
        <w:rPr>
          <w:sz w:val="28"/>
          <w:szCs w:val="28"/>
          <w:lang w:val="ru-RU"/>
        </w:rPr>
        <w:t>вчинення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нотаріальних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дій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нотаріусами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затверджений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22.02.2012 року № 296/5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17. – С. 632.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3.1.6. Правила </w:t>
      </w:r>
      <w:proofErr w:type="spellStart"/>
      <w:r w:rsidRPr="000D61F1">
        <w:rPr>
          <w:sz w:val="28"/>
          <w:szCs w:val="28"/>
          <w:lang w:val="ru-RU"/>
        </w:rPr>
        <w:t>ведення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нотаріального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діловодства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затверджені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22.12.2010 року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2015</w:t>
      </w:r>
      <w:r w:rsidRPr="000D61F1">
        <w:rPr>
          <w:sz w:val="28"/>
          <w:szCs w:val="28"/>
          <w:lang w:val="ru-RU"/>
        </w:rPr>
        <w:t>. – № 24. – С. 714.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3.1.7. Про </w:t>
      </w:r>
      <w:proofErr w:type="spellStart"/>
      <w:r w:rsidRPr="000D61F1">
        <w:rPr>
          <w:sz w:val="28"/>
          <w:szCs w:val="28"/>
          <w:lang w:val="ru-RU"/>
        </w:rPr>
        <w:t>державне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мито</w:t>
      </w:r>
      <w:proofErr w:type="spellEnd"/>
      <w:r w:rsidRPr="000D61F1">
        <w:rPr>
          <w:sz w:val="28"/>
          <w:szCs w:val="28"/>
          <w:lang w:val="ru-RU"/>
        </w:rPr>
        <w:t xml:space="preserve">: декрет </w:t>
      </w:r>
      <w:proofErr w:type="spellStart"/>
      <w:r w:rsidRPr="000D61F1">
        <w:rPr>
          <w:sz w:val="28"/>
          <w:szCs w:val="28"/>
          <w:lang w:val="ru-RU"/>
        </w:rPr>
        <w:t>Кабінету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Міністрів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21 </w:t>
      </w:r>
      <w:proofErr w:type="spellStart"/>
      <w:r w:rsidRPr="000D61F1">
        <w:rPr>
          <w:sz w:val="28"/>
          <w:szCs w:val="28"/>
          <w:lang w:val="ru-RU"/>
        </w:rPr>
        <w:t>січня</w:t>
      </w:r>
      <w:proofErr w:type="spellEnd"/>
      <w:r w:rsidRPr="000D61F1">
        <w:rPr>
          <w:sz w:val="28"/>
          <w:szCs w:val="28"/>
          <w:lang w:val="ru-RU"/>
        </w:rPr>
        <w:t xml:space="preserve"> 1993 року № 7/93</w:t>
      </w:r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13. – С. 113.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3.1.8. </w:t>
      </w:r>
      <w:proofErr w:type="spellStart"/>
      <w:r w:rsidRPr="000D61F1">
        <w:rPr>
          <w:sz w:val="28"/>
          <w:szCs w:val="28"/>
          <w:lang w:val="ru-RU"/>
        </w:rPr>
        <w:t>Інструкція</w:t>
      </w:r>
      <w:proofErr w:type="spellEnd"/>
      <w:r w:rsidRPr="000D61F1">
        <w:rPr>
          <w:sz w:val="28"/>
          <w:szCs w:val="28"/>
          <w:lang w:val="ru-RU"/>
        </w:rPr>
        <w:t xml:space="preserve"> про порядок </w:t>
      </w:r>
      <w:proofErr w:type="spellStart"/>
      <w:r w:rsidRPr="000D61F1">
        <w:rPr>
          <w:sz w:val="28"/>
          <w:szCs w:val="28"/>
          <w:lang w:val="ru-RU"/>
        </w:rPr>
        <w:t>обчислення</w:t>
      </w:r>
      <w:proofErr w:type="spellEnd"/>
      <w:r w:rsidRPr="000D61F1">
        <w:rPr>
          <w:sz w:val="28"/>
          <w:szCs w:val="28"/>
          <w:lang w:val="ru-RU"/>
        </w:rPr>
        <w:t xml:space="preserve"> та </w:t>
      </w:r>
      <w:proofErr w:type="spellStart"/>
      <w:r w:rsidRPr="000D61F1">
        <w:rPr>
          <w:sz w:val="28"/>
          <w:szCs w:val="28"/>
          <w:lang w:val="ru-RU"/>
        </w:rPr>
        <w:t>справляння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gramStart"/>
      <w:r w:rsidRPr="000D61F1">
        <w:rPr>
          <w:sz w:val="28"/>
          <w:szCs w:val="28"/>
          <w:lang w:val="ru-RU"/>
        </w:rPr>
        <w:t>державного</w:t>
      </w:r>
      <w:proofErr w:type="gram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затверджена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фінансів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7.07.2012 року № 811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lastRenderedPageBreak/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74. – С. 3011.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3.1.9. </w:t>
      </w:r>
      <w:proofErr w:type="spellStart"/>
      <w:r w:rsidRPr="000D61F1">
        <w:rPr>
          <w:sz w:val="28"/>
          <w:szCs w:val="28"/>
          <w:lang w:val="ru-RU"/>
        </w:rPr>
        <w:t>Положення</w:t>
      </w:r>
      <w:proofErr w:type="spellEnd"/>
      <w:r w:rsidRPr="000D61F1">
        <w:rPr>
          <w:sz w:val="28"/>
          <w:szCs w:val="28"/>
          <w:lang w:val="ru-RU"/>
        </w:rPr>
        <w:t xml:space="preserve"> про </w:t>
      </w:r>
      <w:proofErr w:type="spellStart"/>
      <w:r w:rsidRPr="000D61F1">
        <w:rPr>
          <w:sz w:val="28"/>
          <w:szCs w:val="28"/>
          <w:lang w:val="ru-RU"/>
        </w:rPr>
        <w:t>Спадковий</w:t>
      </w:r>
      <w:proofErr w:type="spellEnd"/>
      <w:r w:rsidRPr="000D61F1">
        <w:rPr>
          <w:sz w:val="28"/>
          <w:szCs w:val="28"/>
          <w:lang w:val="ru-RU"/>
        </w:rPr>
        <w:t xml:space="preserve">  </w:t>
      </w:r>
      <w:proofErr w:type="spellStart"/>
      <w:r w:rsidRPr="000D61F1">
        <w:rPr>
          <w:sz w:val="28"/>
          <w:szCs w:val="28"/>
          <w:lang w:val="ru-RU"/>
        </w:rPr>
        <w:t>реє</w:t>
      </w:r>
      <w:proofErr w:type="gramStart"/>
      <w:r w:rsidRPr="000D61F1">
        <w:rPr>
          <w:sz w:val="28"/>
          <w:szCs w:val="28"/>
          <w:lang w:val="ru-RU"/>
        </w:rPr>
        <w:t>стр</w:t>
      </w:r>
      <w:proofErr w:type="spellEnd"/>
      <w:proofErr w:type="gram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затверджене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7.07.2011року № 1840/5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2005</w:t>
      </w:r>
      <w:r w:rsidRPr="000D61F1">
        <w:rPr>
          <w:sz w:val="28"/>
          <w:szCs w:val="28"/>
          <w:lang w:val="ru-RU"/>
        </w:rPr>
        <w:t>. – № 15. – С. 798.</w:t>
      </w:r>
    </w:p>
    <w:p w:rsidR="000D61F1" w:rsidRPr="00E625E4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3.1.10. </w:t>
      </w:r>
      <w:proofErr w:type="spellStart"/>
      <w:r w:rsidRPr="00E625E4">
        <w:rPr>
          <w:sz w:val="28"/>
          <w:szCs w:val="28"/>
        </w:rPr>
        <w:t>Порядок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ведення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Єдиного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реєстру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спеціальних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бланків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нотаріальних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документів</w:t>
      </w:r>
      <w:proofErr w:type="spellEnd"/>
      <w:r w:rsidRPr="00E625E4">
        <w:rPr>
          <w:sz w:val="28"/>
          <w:szCs w:val="28"/>
        </w:rPr>
        <w:t xml:space="preserve">, </w:t>
      </w:r>
      <w:proofErr w:type="spellStart"/>
      <w:r w:rsidRPr="00E625E4">
        <w:rPr>
          <w:sz w:val="28"/>
          <w:szCs w:val="28"/>
        </w:rPr>
        <w:t>затверджений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наказом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Міністерства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юстиції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України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від</w:t>
      </w:r>
      <w:proofErr w:type="spellEnd"/>
      <w:r w:rsidRPr="00E625E4">
        <w:rPr>
          <w:sz w:val="28"/>
          <w:szCs w:val="28"/>
        </w:rPr>
        <w:t xml:space="preserve"> 4 </w:t>
      </w:r>
      <w:proofErr w:type="spellStart"/>
      <w:r w:rsidRPr="00E625E4">
        <w:rPr>
          <w:sz w:val="28"/>
          <w:szCs w:val="28"/>
        </w:rPr>
        <w:t>листопада</w:t>
      </w:r>
      <w:proofErr w:type="spellEnd"/>
      <w:r w:rsidRPr="00E625E4">
        <w:rPr>
          <w:sz w:val="28"/>
          <w:szCs w:val="28"/>
        </w:rPr>
        <w:t xml:space="preserve"> 2009 </w:t>
      </w:r>
      <w:proofErr w:type="spellStart"/>
      <w:r w:rsidRPr="00E625E4">
        <w:rPr>
          <w:sz w:val="28"/>
          <w:szCs w:val="28"/>
        </w:rPr>
        <w:t>року</w:t>
      </w:r>
      <w:proofErr w:type="spellEnd"/>
      <w:r w:rsidRPr="00E625E4">
        <w:rPr>
          <w:sz w:val="28"/>
          <w:szCs w:val="28"/>
        </w:rPr>
        <w:t xml:space="preserve"> № 2053/5 / </w:t>
      </w:r>
      <w:proofErr w:type="spellStart"/>
      <w:r w:rsidRPr="00E625E4">
        <w:rPr>
          <w:sz w:val="28"/>
          <w:szCs w:val="28"/>
          <w:shd w:val="clear" w:color="auto" w:fill="FFFFFF"/>
        </w:rPr>
        <w:t>Офіційний</w:t>
      </w:r>
      <w:proofErr w:type="spellEnd"/>
      <w:r w:rsidRPr="00E625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25E4">
        <w:rPr>
          <w:sz w:val="28"/>
          <w:szCs w:val="28"/>
          <w:shd w:val="clear" w:color="auto" w:fill="FFFFFF"/>
        </w:rPr>
        <w:t>вісник</w:t>
      </w:r>
      <w:proofErr w:type="spellEnd"/>
      <w:r w:rsidRPr="00E625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25E4">
        <w:rPr>
          <w:sz w:val="28"/>
          <w:szCs w:val="28"/>
          <w:shd w:val="clear" w:color="auto" w:fill="FFFFFF"/>
        </w:rPr>
        <w:t>України</w:t>
      </w:r>
      <w:proofErr w:type="spellEnd"/>
      <w:r w:rsidRPr="00E625E4">
        <w:rPr>
          <w:sz w:val="28"/>
          <w:szCs w:val="28"/>
          <w:shd w:val="clear" w:color="auto" w:fill="FFFFFF"/>
        </w:rPr>
        <w:t>. – 2004</w:t>
      </w:r>
      <w:r w:rsidRPr="00E625E4">
        <w:rPr>
          <w:sz w:val="28"/>
          <w:szCs w:val="28"/>
        </w:rPr>
        <w:t xml:space="preserve">. </w:t>
      </w:r>
      <w:proofErr w:type="gramStart"/>
      <w:r w:rsidRPr="00E625E4">
        <w:rPr>
          <w:sz w:val="28"/>
          <w:szCs w:val="28"/>
        </w:rPr>
        <w:t>– № 28.</w:t>
      </w:r>
      <w:proofErr w:type="gramEnd"/>
      <w:r w:rsidRPr="00E625E4">
        <w:rPr>
          <w:sz w:val="28"/>
          <w:szCs w:val="28"/>
        </w:rPr>
        <w:t xml:space="preserve"> </w:t>
      </w:r>
      <w:proofErr w:type="gramStart"/>
      <w:r w:rsidRPr="00E625E4">
        <w:rPr>
          <w:sz w:val="28"/>
          <w:szCs w:val="28"/>
        </w:rPr>
        <w:t>– С. 1929.</w:t>
      </w:r>
      <w:proofErr w:type="gramEnd"/>
    </w:p>
    <w:p w:rsidR="000D61F1" w:rsidRPr="00E625E4" w:rsidRDefault="000D61F1" w:rsidP="000D61F1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E625E4">
        <w:rPr>
          <w:b/>
          <w:bCs/>
          <w:sz w:val="28"/>
          <w:szCs w:val="28"/>
        </w:rPr>
        <w:t>Додаткові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рекомендовані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джерела</w:t>
      </w:r>
      <w:proofErr w:type="spellEnd"/>
    </w:p>
    <w:p w:rsidR="000D61F1" w:rsidRPr="00E625E4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3.2.1.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Л.К.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                      Л.К.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Юрінком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Інтер</w:t>
      </w:r>
      <w:proofErr w:type="spellEnd"/>
      <w:r w:rsidRPr="00E625E4">
        <w:rPr>
          <w:sz w:val="28"/>
          <w:szCs w:val="28"/>
        </w:rPr>
        <w:t>. – 2008. – 528 с.</w:t>
      </w:r>
    </w:p>
    <w:p w:rsidR="000D61F1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3.2.2.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 Ю.В.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Ю.В.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.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КНТ. – 2009. – 632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3.2.3.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 в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Україні</w:t>
      </w:r>
      <w:proofErr w:type="spellEnd"/>
      <w:r w:rsidRPr="000D61F1">
        <w:rPr>
          <w:sz w:val="28"/>
          <w:szCs w:val="28"/>
          <w:lang w:val="ru-RU"/>
        </w:rPr>
        <w:t>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законодавство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суд,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практика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/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Міністерство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;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за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заг</w:t>
      </w:r>
      <w:proofErr w:type="spellEnd"/>
      <w:r w:rsidRPr="000D61F1">
        <w:rPr>
          <w:sz w:val="28"/>
          <w:szCs w:val="28"/>
          <w:lang w:val="ru-RU"/>
        </w:rPr>
        <w:t>. ред.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Л.В.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Єфіменка</w:t>
      </w:r>
      <w:proofErr w:type="spellEnd"/>
      <w:r w:rsidRPr="000D61F1">
        <w:rPr>
          <w:sz w:val="28"/>
          <w:szCs w:val="28"/>
          <w:lang w:val="ru-RU"/>
        </w:rPr>
        <w:t>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К.: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Юрінком</w:t>
      </w:r>
      <w:proofErr w:type="spellEnd"/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Інтер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2009.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–400с.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3.2.4.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 </w:t>
      </w:r>
      <w:proofErr w:type="spellStart"/>
      <w:r w:rsidRPr="000D61F1">
        <w:rPr>
          <w:sz w:val="28"/>
          <w:szCs w:val="28"/>
          <w:lang w:val="ru-RU"/>
        </w:rPr>
        <w:t>Актуальні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спадкового</w:t>
      </w:r>
      <w:proofErr w:type="spellEnd"/>
      <w:r w:rsidRPr="000D61F1">
        <w:rPr>
          <w:sz w:val="28"/>
          <w:szCs w:val="28"/>
          <w:lang w:val="ru-RU"/>
        </w:rPr>
        <w:t xml:space="preserve"> права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/ І.В.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>. – КСИЛОН. – 2009. – 148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3.2.5. </w:t>
      </w:r>
      <w:proofErr w:type="spellStart"/>
      <w:r w:rsidRPr="000D61F1">
        <w:rPr>
          <w:sz w:val="28"/>
          <w:szCs w:val="28"/>
          <w:lang w:val="ru-RU"/>
        </w:rPr>
        <w:t>Проблемні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нотаріальної</w:t>
      </w:r>
      <w:proofErr w:type="spellEnd"/>
      <w:r w:rsidRPr="000D61F1">
        <w:rPr>
          <w:sz w:val="28"/>
          <w:szCs w:val="28"/>
          <w:lang w:val="ru-RU"/>
        </w:rPr>
        <w:t xml:space="preserve"> практики / [</w:t>
      </w:r>
      <w:proofErr w:type="spellStart"/>
      <w:r w:rsidRPr="000D61F1">
        <w:rPr>
          <w:sz w:val="28"/>
          <w:szCs w:val="28"/>
          <w:lang w:val="ru-RU"/>
        </w:rPr>
        <w:t>Носік</w:t>
      </w:r>
      <w:proofErr w:type="spellEnd"/>
      <w:r w:rsidRPr="000D61F1">
        <w:rPr>
          <w:sz w:val="28"/>
          <w:szCs w:val="28"/>
          <w:lang w:val="ru-RU"/>
        </w:rPr>
        <w:t xml:space="preserve"> В.В., </w:t>
      </w:r>
      <w:proofErr w:type="spellStart"/>
      <w:r w:rsidRPr="000D61F1">
        <w:rPr>
          <w:sz w:val="28"/>
          <w:szCs w:val="28"/>
          <w:lang w:val="ru-RU"/>
        </w:rPr>
        <w:t>Спасібо-Фатєєва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В.,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 xml:space="preserve"> І.В., Печений О.П.]. – Х., 2008. – 96 с. 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3.2.6. </w:t>
      </w:r>
      <w:proofErr w:type="spellStart"/>
      <w:r w:rsidRPr="000D61F1">
        <w:rPr>
          <w:bCs/>
          <w:iCs/>
          <w:sz w:val="28"/>
          <w:szCs w:val="28"/>
          <w:lang w:val="ru-RU"/>
        </w:rPr>
        <w:t>Новий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Цивільний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</w:t>
      </w:r>
      <w:proofErr w:type="spellStart"/>
      <w:r w:rsidRPr="000D61F1">
        <w:rPr>
          <w:bCs/>
          <w:iCs/>
          <w:sz w:val="28"/>
          <w:szCs w:val="28"/>
          <w:lang w:val="ru-RU"/>
        </w:rPr>
        <w:t>проблемні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питання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застосування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. – К.: </w:t>
      </w:r>
      <w:proofErr w:type="spellStart"/>
      <w:r w:rsidRPr="000D61F1">
        <w:rPr>
          <w:bCs/>
          <w:iCs/>
          <w:sz w:val="28"/>
          <w:szCs w:val="28"/>
          <w:lang w:val="ru-RU"/>
        </w:rPr>
        <w:t>Поліграф-Експрес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, 2008. – 138 </w:t>
      </w:r>
      <w:proofErr w:type="gramStart"/>
      <w:r w:rsidRPr="000D61F1">
        <w:rPr>
          <w:bCs/>
          <w:iCs/>
          <w:sz w:val="28"/>
          <w:szCs w:val="28"/>
          <w:lang w:val="ru-RU"/>
        </w:rPr>
        <w:t>с</w:t>
      </w:r>
      <w:proofErr w:type="gramEnd"/>
      <w:r w:rsidRPr="000D61F1">
        <w:rPr>
          <w:bCs/>
          <w:iCs/>
          <w:sz w:val="28"/>
          <w:szCs w:val="28"/>
          <w:lang w:val="ru-RU"/>
        </w:rPr>
        <w:t>.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3.2.7.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судову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практику </w:t>
      </w:r>
      <w:proofErr w:type="gramStart"/>
      <w:r w:rsidRPr="000D61F1">
        <w:rPr>
          <w:bCs/>
          <w:iCs/>
          <w:sz w:val="28"/>
          <w:szCs w:val="28"/>
          <w:lang w:val="ru-RU"/>
        </w:rPr>
        <w:t>у</w:t>
      </w:r>
      <w:proofErr w:type="gramEnd"/>
      <w:r w:rsidRPr="000D61F1">
        <w:rPr>
          <w:bCs/>
          <w:iCs/>
          <w:sz w:val="28"/>
          <w:szCs w:val="28"/>
          <w:lang w:val="ru-RU"/>
        </w:rPr>
        <w:t xml:space="preserve"> справах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спадкування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Постанова Пленуму Верховного Суду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від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30.05.2008 року № 7. [</w:t>
      </w:r>
      <w:proofErr w:type="spellStart"/>
      <w:r w:rsidRPr="000D61F1">
        <w:rPr>
          <w:bCs/>
          <w:iCs/>
          <w:sz w:val="28"/>
          <w:szCs w:val="28"/>
          <w:lang w:val="ru-RU"/>
        </w:rPr>
        <w:t>Електронний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ресурс]. – Режим доступу: </w:t>
      </w:r>
      <w:r w:rsidRPr="00E625E4">
        <w:rPr>
          <w:bCs/>
          <w:iCs/>
          <w:sz w:val="28"/>
          <w:szCs w:val="28"/>
        </w:rPr>
        <w:t>http</w:t>
      </w:r>
      <w:r w:rsidRPr="000D61F1">
        <w:rPr>
          <w:bCs/>
          <w:iCs/>
          <w:sz w:val="28"/>
          <w:szCs w:val="28"/>
          <w:lang w:val="ru-RU"/>
        </w:rPr>
        <w:t>://</w:t>
      </w:r>
      <w:proofErr w:type="spellStart"/>
      <w:r w:rsidRPr="00E625E4">
        <w:rPr>
          <w:bCs/>
          <w:iCs/>
          <w:sz w:val="28"/>
          <w:szCs w:val="28"/>
        </w:rPr>
        <w:t>zakon</w:t>
      </w:r>
      <w:proofErr w:type="spellEnd"/>
      <w:r w:rsidRPr="000D61F1">
        <w:rPr>
          <w:bCs/>
          <w:iCs/>
          <w:sz w:val="28"/>
          <w:szCs w:val="28"/>
          <w:lang w:val="ru-RU"/>
        </w:rPr>
        <w:t>4.</w:t>
      </w:r>
      <w:proofErr w:type="spellStart"/>
      <w:r w:rsidRPr="00E625E4">
        <w:rPr>
          <w:bCs/>
          <w:iCs/>
          <w:sz w:val="28"/>
          <w:szCs w:val="28"/>
        </w:rPr>
        <w:t>rada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gov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ua</w:t>
      </w:r>
      <w:proofErr w:type="spellEnd"/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laws</w:t>
      </w:r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show</w:t>
      </w:r>
      <w:r w:rsidRPr="000D61F1">
        <w:rPr>
          <w:bCs/>
          <w:iCs/>
          <w:sz w:val="28"/>
          <w:szCs w:val="28"/>
          <w:lang w:val="ru-RU"/>
        </w:rPr>
        <w:t>/-</w:t>
      </w:r>
      <w:r w:rsidRPr="00E625E4">
        <w:rPr>
          <w:bCs/>
          <w:iCs/>
          <w:sz w:val="28"/>
          <w:szCs w:val="28"/>
        </w:rPr>
        <w:t>v</w:t>
      </w:r>
      <w:r w:rsidRPr="000D61F1">
        <w:rPr>
          <w:bCs/>
          <w:iCs/>
          <w:sz w:val="28"/>
          <w:szCs w:val="28"/>
          <w:lang w:val="ru-RU"/>
        </w:rPr>
        <w:t>-753740-13.</w:t>
      </w:r>
    </w:p>
    <w:p w:rsidR="00002CC5" w:rsidRPr="000D61F1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bookmarkStart w:id="0" w:name="_GoBack"/>
      <w:bookmarkEnd w:id="0"/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право як </w:t>
      </w:r>
      <w:proofErr w:type="spellStart"/>
      <w:r w:rsidRPr="008C78E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C78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. 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78ED">
        <w:rPr>
          <w:rFonts w:ascii="Times New Roman" w:hAnsi="Times New Roman"/>
          <w:sz w:val="28"/>
          <w:szCs w:val="28"/>
          <w:lang w:val="uk-UA"/>
        </w:rPr>
        <w:t>Види заповітів (заповіт з умовою, заповіт подружжя, заповіт під призначенням спадкоємця, секретний заповіт, заповідальний відказ), їх особливості.</w:t>
      </w:r>
    </w:p>
    <w:p w:rsidR="008C78ED" w:rsidRPr="008C78ED" w:rsidRDefault="008C78ED" w:rsidP="008C78ED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охоронця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майна.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2449C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страхових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виплат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(страхового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2449C">
        <w:rPr>
          <w:rFonts w:ascii="Times New Roman" w:hAnsi="Times New Roman"/>
          <w:sz w:val="28"/>
          <w:szCs w:val="28"/>
        </w:rPr>
        <w:t>також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збитків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шкоди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сплати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неустойки. </w:t>
      </w:r>
      <w:proofErr w:type="gramEnd"/>
    </w:p>
    <w:p w:rsidR="0062449C" w:rsidRPr="0062449C" w:rsidRDefault="0062449C" w:rsidP="0062449C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строку для </w:t>
      </w:r>
      <w:proofErr w:type="spellStart"/>
      <w:r w:rsidRPr="0062449C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2449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майно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62449C">
        <w:rPr>
          <w:sz w:val="28"/>
          <w:szCs w:val="28"/>
          <w:lang w:val="ru-RU"/>
        </w:rPr>
        <w:lastRenderedPageBreak/>
        <w:t>Спадкування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частки</w:t>
      </w:r>
      <w:proofErr w:type="spellEnd"/>
      <w:r w:rsidRPr="0062449C">
        <w:rPr>
          <w:sz w:val="28"/>
          <w:szCs w:val="28"/>
          <w:lang w:val="ru-RU"/>
        </w:rPr>
        <w:t xml:space="preserve"> у </w:t>
      </w:r>
      <w:proofErr w:type="spellStart"/>
      <w:r w:rsidRPr="0062449C">
        <w:rPr>
          <w:sz w:val="28"/>
          <w:szCs w:val="28"/>
          <w:lang w:val="ru-RU"/>
        </w:rPr>
        <w:t>праві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спільної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сумісної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власності</w:t>
      </w:r>
      <w:proofErr w:type="spellEnd"/>
      <w:r w:rsidRPr="0062449C">
        <w:rPr>
          <w:sz w:val="28"/>
          <w:szCs w:val="28"/>
          <w:lang w:val="ru-RU"/>
        </w:rPr>
        <w:t>.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Особливості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ім’я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малолітніх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неповнолітніх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обмежено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спадкоємців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частку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спільному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майні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разі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смерті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одного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підстави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порядок.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заповітом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спадщиною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дії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такого договору.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щодо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майна. 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Зміна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6C2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заповідача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спадкоємців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обсягу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6C2">
        <w:rPr>
          <w:rFonts w:ascii="Times New Roman" w:hAnsi="Times New Roman"/>
          <w:sz w:val="28"/>
          <w:szCs w:val="28"/>
        </w:rPr>
        <w:t>що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має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спадкуватися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заповітом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  <w:r w:rsidRPr="00CF2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9A20D2" w:rsidRPr="00612E80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r w:rsidR="00612E80" w:rsidRPr="00612E80">
        <w:rPr>
          <w:bCs/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bCs/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bCs/>
          <w:sz w:val="28"/>
          <w:szCs w:val="28"/>
          <w:lang w:val="ru-RU"/>
        </w:rPr>
        <w:t>які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bCs/>
          <w:sz w:val="28"/>
          <w:szCs w:val="28"/>
          <w:lang w:val="ru-RU"/>
        </w:rPr>
        <w:t>входять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bCs/>
          <w:sz w:val="28"/>
          <w:szCs w:val="28"/>
          <w:lang w:val="ru-RU"/>
        </w:rPr>
        <w:t>до</w:t>
      </w:r>
      <w:proofErr w:type="gramEnd"/>
      <w:r w:rsidR="00612E80" w:rsidRPr="00612E80">
        <w:rPr>
          <w:bCs/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bCs/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bCs/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612E80" w:rsidRPr="00612E80">
        <w:rPr>
          <w:sz w:val="28"/>
          <w:szCs w:val="28"/>
          <w:lang w:val="ru-RU"/>
        </w:rPr>
        <w:t>Заповіт</w:t>
      </w:r>
      <w:proofErr w:type="spellEnd"/>
      <w:r w:rsidR="00612E80" w:rsidRPr="00612E80">
        <w:rPr>
          <w:sz w:val="28"/>
          <w:szCs w:val="28"/>
          <w:lang w:val="ru-RU"/>
        </w:rPr>
        <w:t xml:space="preserve">, як </w:t>
      </w:r>
      <w:proofErr w:type="spellStart"/>
      <w:r w:rsidR="00612E80" w:rsidRPr="00612E80">
        <w:rPr>
          <w:sz w:val="28"/>
          <w:szCs w:val="28"/>
          <w:lang w:val="ru-RU"/>
        </w:rPr>
        <w:t>особисте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розпорядження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фізичної</w:t>
      </w:r>
      <w:proofErr w:type="spellEnd"/>
      <w:r w:rsidR="00612E80" w:rsidRPr="00612E80">
        <w:rPr>
          <w:sz w:val="28"/>
          <w:szCs w:val="28"/>
          <w:lang w:val="ru-RU"/>
        </w:rPr>
        <w:t xml:space="preserve"> особи на </w:t>
      </w:r>
      <w:proofErr w:type="spellStart"/>
      <w:r w:rsidR="00612E80" w:rsidRPr="00612E80">
        <w:rPr>
          <w:sz w:val="28"/>
          <w:szCs w:val="28"/>
          <w:lang w:val="ru-RU"/>
        </w:rPr>
        <w:t>випадок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своєї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смерті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612E80" w:rsidRPr="00612E80" w:rsidRDefault="009A20D2" w:rsidP="00612E80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Обов’язкова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частка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у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спадщині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порядок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її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визначення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.  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612E80" w:rsidRPr="00612E80">
        <w:rPr>
          <w:sz w:val="28"/>
          <w:szCs w:val="28"/>
          <w:lang w:val="ru-RU"/>
        </w:rPr>
        <w:t>Загальні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вимоги</w:t>
      </w:r>
      <w:proofErr w:type="spellEnd"/>
      <w:r w:rsidR="00612E80" w:rsidRPr="00612E80">
        <w:rPr>
          <w:sz w:val="28"/>
          <w:szCs w:val="28"/>
          <w:lang w:val="ru-RU"/>
        </w:rPr>
        <w:t xml:space="preserve"> до </w:t>
      </w:r>
      <w:proofErr w:type="spellStart"/>
      <w:r w:rsidR="00612E80" w:rsidRPr="00612E80">
        <w:rPr>
          <w:sz w:val="28"/>
          <w:szCs w:val="28"/>
          <w:lang w:val="ru-RU"/>
        </w:rPr>
        <w:t>форми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заповіту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612E80" w:rsidRPr="00612E80">
        <w:rPr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sz w:val="28"/>
          <w:szCs w:val="28"/>
          <w:lang w:val="ru-RU"/>
        </w:rPr>
        <w:t>які</w:t>
      </w:r>
      <w:proofErr w:type="spellEnd"/>
      <w:r w:rsidR="00612E80" w:rsidRPr="00612E80">
        <w:rPr>
          <w:sz w:val="28"/>
          <w:szCs w:val="28"/>
          <w:lang w:val="ru-RU"/>
        </w:rPr>
        <w:t xml:space="preserve"> не </w:t>
      </w:r>
      <w:proofErr w:type="spellStart"/>
      <w:r w:rsidR="00612E80" w:rsidRPr="00612E80">
        <w:rPr>
          <w:sz w:val="28"/>
          <w:szCs w:val="28"/>
          <w:lang w:val="ru-RU"/>
        </w:rPr>
        <w:t>входять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sz w:val="28"/>
          <w:szCs w:val="28"/>
          <w:lang w:val="ru-RU"/>
        </w:rPr>
        <w:t>до</w:t>
      </w:r>
      <w:proofErr w:type="gramEnd"/>
      <w:r w:rsidR="00612E80" w:rsidRPr="00612E80">
        <w:rPr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612E80" w:rsidRPr="00976778">
        <w:rPr>
          <w:rStyle w:val="maintext"/>
          <w:sz w:val="28"/>
          <w:szCs w:val="28"/>
        </w:rPr>
        <w:t>Спадкування</w:t>
      </w:r>
      <w:proofErr w:type="spellEnd"/>
      <w:r w:rsidR="00612E80" w:rsidRPr="00976778">
        <w:rPr>
          <w:rStyle w:val="maintext"/>
          <w:sz w:val="28"/>
          <w:szCs w:val="28"/>
        </w:rPr>
        <w:t xml:space="preserve"> </w:t>
      </w:r>
      <w:proofErr w:type="spellStart"/>
      <w:r w:rsidR="00612E80" w:rsidRPr="00976778">
        <w:rPr>
          <w:rStyle w:val="maintext"/>
          <w:sz w:val="28"/>
          <w:szCs w:val="28"/>
        </w:rPr>
        <w:t>внуками</w:t>
      </w:r>
      <w:proofErr w:type="spellEnd"/>
      <w:r w:rsidR="00612E80" w:rsidRPr="00976778">
        <w:rPr>
          <w:sz w:val="28"/>
          <w:szCs w:val="28"/>
        </w:rPr>
        <w:t>.</w:t>
      </w:r>
      <w:proofErr w:type="gramEnd"/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Спадкування</w:t>
      </w:r>
      <w:proofErr w:type="spellEnd"/>
      <w:r w:rsidR="00FF575A" w:rsidRPr="00FF575A">
        <w:rPr>
          <w:sz w:val="28"/>
          <w:szCs w:val="28"/>
          <w:lang w:val="ru-RU"/>
        </w:rPr>
        <w:t xml:space="preserve"> за правом </w:t>
      </w:r>
      <w:proofErr w:type="spellStart"/>
      <w:r w:rsidR="00FF575A" w:rsidRPr="00FF575A">
        <w:rPr>
          <w:sz w:val="28"/>
          <w:szCs w:val="28"/>
          <w:lang w:val="ru-RU"/>
        </w:rPr>
        <w:t>представлення</w:t>
      </w:r>
      <w:proofErr w:type="spellEnd"/>
      <w:r w:rsidR="00FF575A" w:rsidRPr="00FF575A">
        <w:rPr>
          <w:sz w:val="28"/>
          <w:szCs w:val="28"/>
          <w:lang w:val="ru-RU"/>
        </w:rPr>
        <w:t>.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FF575A" w:rsidRPr="00FF575A">
        <w:rPr>
          <w:bCs/>
          <w:sz w:val="28"/>
          <w:szCs w:val="28"/>
          <w:lang w:val="ru-RU"/>
        </w:rPr>
        <w:t xml:space="preserve">Строки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і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наслідки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пропущення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строку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color w:val="000000"/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F575A" w:rsidRPr="00976778">
        <w:rPr>
          <w:sz w:val="28"/>
          <w:szCs w:val="28"/>
        </w:rPr>
        <w:t>Опис</w:t>
      </w:r>
      <w:proofErr w:type="spellEnd"/>
      <w:r w:rsidR="00FF575A" w:rsidRPr="00976778">
        <w:rPr>
          <w:sz w:val="28"/>
          <w:szCs w:val="28"/>
        </w:rPr>
        <w:t xml:space="preserve"> </w:t>
      </w:r>
      <w:proofErr w:type="spellStart"/>
      <w:r w:rsidR="00FF575A" w:rsidRPr="00976778">
        <w:rPr>
          <w:sz w:val="28"/>
          <w:szCs w:val="28"/>
        </w:rPr>
        <w:t>спадкового</w:t>
      </w:r>
      <w:proofErr w:type="spellEnd"/>
      <w:r w:rsidR="00FF575A" w:rsidRPr="00976778">
        <w:rPr>
          <w:sz w:val="28"/>
          <w:szCs w:val="28"/>
        </w:rPr>
        <w:t xml:space="preserve"> </w:t>
      </w:r>
      <w:proofErr w:type="spellStart"/>
      <w:r w:rsidR="00FF575A" w:rsidRPr="00976778">
        <w:rPr>
          <w:sz w:val="28"/>
          <w:szCs w:val="28"/>
        </w:rPr>
        <w:t>майна</w:t>
      </w:r>
      <w:proofErr w:type="spellEnd"/>
      <w:r w:rsidR="00FF575A" w:rsidRPr="00976778">
        <w:rPr>
          <w:sz w:val="28"/>
          <w:szCs w:val="28"/>
        </w:rPr>
        <w:t>.</w:t>
      </w:r>
      <w:proofErr w:type="gramEnd"/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Дії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нотаріуса</w:t>
      </w:r>
      <w:proofErr w:type="spellEnd"/>
      <w:r w:rsidR="00FF575A" w:rsidRPr="00FF575A">
        <w:rPr>
          <w:sz w:val="28"/>
          <w:szCs w:val="28"/>
          <w:lang w:val="ru-RU"/>
        </w:rPr>
        <w:t xml:space="preserve"> у </w:t>
      </w:r>
      <w:proofErr w:type="spellStart"/>
      <w:r w:rsidR="00FF575A" w:rsidRPr="00FF575A">
        <w:rPr>
          <w:sz w:val="28"/>
          <w:szCs w:val="28"/>
          <w:lang w:val="ru-RU"/>
        </w:rPr>
        <w:t>випадку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неможливості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вжиття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заходів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щодо</w:t>
      </w:r>
      <w:proofErr w:type="spellEnd"/>
      <w:r w:rsidR="00FF575A" w:rsidRPr="00FF575A">
        <w:rPr>
          <w:sz w:val="28"/>
          <w:szCs w:val="28"/>
          <w:lang w:val="ru-RU"/>
        </w:rPr>
        <w:t xml:space="preserve">  </w:t>
      </w:r>
      <w:proofErr w:type="spellStart"/>
      <w:r w:rsidR="00FF575A" w:rsidRPr="00FF575A">
        <w:rPr>
          <w:sz w:val="28"/>
          <w:szCs w:val="28"/>
          <w:lang w:val="ru-RU"/>
        </w:rPr>
        <w:t>охорони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спадкового</w:t>
      </w:r>
      <w:proofErr w:type="spellEnd"/>
      <w:r w:rsidR="00FF575A" w:rsidRPr="00FF575A">
        <w:rPr>
          <w:sz w:val="28"/>
          <w:szCs w:val="28"/>
          <w:lang w:val="ru-RU"/>
        </w:rPr>
        <w:t xml:space="preserve"> майна. 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="00FF575A" w:rsidRPr="00FF575A">
        <w:rPr>
          <w:bCs/>
          <w:color w:val="000000"/>
          <w:sz w:val="28"/>
          <w:szCs w:val="28"/>
          <w:lang w:val="ru-RU"/>
        </w:rPr>
        <w:t>П</w:t>
      </w:r>
      <w:proofErr w:type="gramEnd"/>
      <w:r w:rsidR="00FF575A" w:rsidRPr="00FF575A">
        <w:rPr>
          <w:bCs/>
          <w:color w:val="000000"/>
          <w:sz w:val="28"/>
          <w:szCs w:val="28"/>
          <w:lang w:val="ru-RU"/>
        </w:rPr>
        <w:t>ідстави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видачі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свідоцтва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про право на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за законом.</w:t>
      </w:r>
    </w:p>
    <w:p w:rsidR="00FF575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FF575A" w:rsidRPr="00976778">
        <w:rPr>
          <w:bCs/>
          <w:sz w:val="28"/>
          <w:szCs w:val="28"/>
        </w:rPr>
        <w:t>Прийняття</w:t>
      </w:r>
      <w:proofErr w:type="spellEnd"/>
      <w:r w:rsidR="00FF575A" w:rsidRPr="00976778">
        <w:rPr>
          <w:bCs/>
          <w:sz w:val="28"/>
          <w:szCs w:val="28"/>
        </w:rPr>
        <w:t xml:space="preserve"> </w:t>
      </w:r>
      <w:proofErr w:type="spellStart"/>
      <w:r w:rsidR="00FF575A" w:rsidRPr="00976778">
        <w:rPr>
          <w:bCs/>
          <w:sz w:val="28"/>
          <w:szCs w:val="28"/>
        </w:rPr>
        <w:t>спадщини</w:t>
      </w:r>
      <w:proofErr w:type="spellEnd"/>
      <w:r w:rsidR="00FF575A" w:rsidRPr="00976778">
        <w:rPr>
          <w:bCs/>
          <w:sz w:val="28"/>
          <w:szCs w:val="28"/>
        </w:rPr>
        <w:t>.</w:t>
      </w:r>
      <w:proofErr w:type="gramEnd"/>
      <w:r w:rsidR="00FF575A" w:rsidRPr="00976778">
        <w:rPr>
          <w:bCs/>
          <w:sz w:val="28"/>
          <w:szCs w:val="28"/>
        </w:rPr>
        <w:t xml:space="preserve"> </w:t>
      </w:r>
    </w:p>
    <w:p w:rsidR="009A20D2" w:rsidRPr="000C799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10</w:t>
      </w:r>
    </w:p>
    <w:p w:rsid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</w:pPr>
      <w:r w:rsidRPr="000C799A">
        <w:rPr>
          <w:sz w:val="28"/>
          <w:szCs w:val="28"/>
          <w:lang w:val="uk-UA"/>
        </w:rPr>
        <w:t xml:space="preserve">1. </w:t>
      </w:r>
      <w:r w:rsidR="00AC6F7B" w:rsidRPr="00AC6F7B"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  <w:t>Перевірка нотаріусом факту смерті, часу і місця відкриття спадщини.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Видача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C6F7B" w:rsidRPr="00AC6F7B">
        <w:rPr>
          <w:bCs/>
          <w:color w:val="000000"/>
          <w:sz w:val="28"/>
          <w:szCs w:val="28"/>
          <w:lang w:val="ru-RU"/>
        </w:rPr>
        <w:t>св</w:t>
      </w:r>
      <w:proofErr w:type="gramEnd"/>
      <w:r w:rsidR="00AC6F7B" w:rsidRPr="00AC6F7B">
        <w:rPr>
          <w:bCs/>
          <w:color w:val="000000"/>
          <w:sz w:val="28"/>
          <w:szCs w:val="28"/>
          <w:lang w:val="ru-RU"/>
        </w:rPr>
        <w:t>ідоцтва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на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спадкоємцю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який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має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обов’язкову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частку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спадщині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>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Спадкування</w:t>
      </w:r>
      <w:proofErr w:type="spellEnd"/>
      <w:r w:rsidR="00AC6F7B" w:rsidRPr="00AC6F7B">
        <w:rPr>
          <w:sz w:val="28"/>
          <w:szCs w:val="28"/>
          <w:lang w:val="ru-RU"/>
        </w:rPr>
        <w:t xml:space="preserve"> права на вклад </w:t>
      </w:r>
      <w:proofErr w:type="gramStart"/>
      <w:r w:rsidR="00AC6F7B" w:rsidRPr="00AC6F7B">
        <w:rPr>
          <w:sz w:val="28"/>
          <w:szCs w:val="28"/>
          <w:lang w:val="ru-RU"/>
        </w:rPr>
        <w:t>у</w:t>
      </w:r>
      <w:proofErr w:type="gramEnd"/>
      <w:r w:rsidR="00AC6F7B" w:rsidRPr="00AC6F7B">
        <w:rPr>
          <w:sz w:val="28"/>
          <w:szCs w:val="28"/>
          <w:lang w:val="ru-RU"/>
        </w:rPr>
        <w:t xml:space="preserve"> банку (</w:t>
      </w:r>
      <w:proofErr w:type="spellStart"/>
      <w:r w:rsidR="00AC6F7B" w:rsidRPr="00AC6F7B">
        <w:rPr>
          <w:sz w:val="28"/>
          <w:szCs w:val="28"/>
          <w:lang w:val="ru-RU"/>
        </w:rPr>
        <w:t>фінансовій</w:t>
      </w:r>
      <w:proofErr w:type="spellEnd"/>
      <w:r w:rsidR="00AC6F7B" w:rsidRPr="00AC6F7B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установі</w:t>
      </w:r>
      <w:proofErr w:type="spellEnd"/>
      <w:r w:rsidR="00AC6F7B" w:rsidRPr="00AC6F7B">
        <w:rPr>
          <w:sz w:val="28"/>
          <w:szCs w:val="28"/>
          <w:lang w:val="ru-RU"/>
        </w:rPr>
        <w:t>).</w:t>
      </w:r>
    </w:p>
    <w:sectPr w:rsidR="009A20D2" w:rsidRPr="00AC6F7B" w:rsidSect="00A235D9">
      <w:pgSz w:w="11900" w:h="16840"/>
      <w:pgMar w:top="1100" w:right="60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860C0B2E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114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E8C45A06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17B49AD2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938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0D61F1"/>
    <w:rsid w:val="00345CBE"/>
    <w:rsid w:val="00610239"/>
    <w:rsid w:val="00612E80"/>
    <w:rsid w:val="0062449C"/>
    <w:rsid w:val="00690C5B"/>
    <w:rsid w:val="006A2381"/>
    <w:rsid w:val="008C78ED"/>
    <w:rsid w:val="008F2D22"/>
    <w:rsid w:val="00992841"/>
    <w:rsid w:val="009A20D2"/>
    <w:rsid w:val="00A235D9"/>
    <w:rsid w:val="00A95018"/>
    <w:rsid w:val="00AC6F7B"/>
    <w:rsid w:val="00B44623"/>
    <w:rsid w:val="00BF2CD1"/>
    <w:rsid w:val="00C46B87"/>
    <w:rsid w:val="00C656B7"/>
    <w:rsid w:val="00CE3A17"/>
    <w:rsid w:val="00CF26C2"/>
    <w:rsid w:val="00E82D7B"/>
    <w:rsid w:val="00F801E3"/>
    <w:rsid w:val="00FB01E6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8">
    <w:name w:val="Strong"/>
    <w:basedOn w:val="a0"/>
    <w:uiPriority w:val="99"/>
    <w:qFormat/>
    <w:rsid w:val="00612E80"/>
    <w:rPr>
      <w:rFonts w:cs="Times New Roman"/>
      <w:b/>
    </w:rPr>
  </w:style>
  <w:style w:type="character" w:customStyle="1" w:styleId="maintext">
    <w:name w:val="maintext"/>
    <w:basedOn w:val="a0"/>
    <w:uiPriority w:val="99"/>
    <w:rsid w:val="00612E80"/>
    <w:rPr>
      <w:rFonts w:cs="Times New Roman"/>
    </w:rPr>
  </w:style>
  <w:style w:type="character" w:customStyle="1" w:styleId="FontStyle135">
    <w:name w:val="Font Style135"/>
    <w:uiPriority w:val="99"/>
    <w:rsid w:val="00AC6F7B"/>
    <w:rPr>
      <w:rFonts w:ascii="Times New Roman" w:hAnsi="Times New Roman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8701</Words>
  <Characters>4961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12</cp:revision>
  <dcterms:created xsi:type="dcterms:W3CDTF">2016-09-27T07:25:00Z</dcterms:created>
  <dcterms:modified xsi:type="dcterms:W3CDTF">2017-02-03T18:21:00Z</dcterms:modified>
</cp:coreProperties>
</file>