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9" w:rsidRPr="008D1039" w:rsidRDefault="008D1039" w:rsidP="008D1039">
      <w:pPr>
        <w:spacing w:before="120" w:line="288" w:lineRule="auto"/>
        <w:jc w:val="both"/>
        <w:rPr>
          <w:b/>
          <w:sz w:val="28"/>
          <w:szCs w:val="22"/>
          <w:lang w:val="ru-RU"/>
        </w:rPr>
      </w:pPr>
      <w:r w:rsidRPr="008D1039">
        <w:rPr>
          <w:sz w:val="28"/>
          <w:szCs w:val="22"/>
          <w:lang w:val="ru-RU"/>
        </w:rPr>
        <w:t>УДК 004.032.6(045)</w:t>
      </w:r>
    </w:p>
    <w:p w:rsidR="008D1039" w:rsidRPr="008D1039" w:rsidRDefault="008D1039" w:rsidP="008D1039">
      <w:pPr>
        <w:spacing w:before="120"/>
        <w:ind w:firstLine="567"/>
        <w:jc w:val="right"/>
        <w:rPr>
          <w:sz w:val="28"/>
          <w:szCs w:val="22"/>
          <w:lang w:val="uk-UA"/>
        </w:rPr>
      </w:pPr>
      <w:bookmarkStart w:id="0" w:name="_Toc215241741"/>
      <w:r w:rsidRPr="008D1039">
        <w:rPr>
          <w:rStyle w:val="ad"/>
          <w:sz w:val="32"/>
          <w:lang w:val="ru-RU"/>
        </w:rPr>
        <w:t>В.І. Пустоваров</w:t>
      </w:r>
      <w:bookmarkEnd w:id="0"/>
      <w:r w:rsidRPr="008D1039">
        <w:rPr>
          <w:b/>
          <w:sz w:val="28"/>
          <w:szCs w:val="22"/>
          <w:lang w:val="uk-UA"/>
        </w:rPr>
        <w:t xml:space="preserve">, </w:t>
      </w:r>
      <w:proofErr w:type="spellStart"/>
      <w:r w:rsidRPr="008D1039">
        <w:rPr>
          <w:sz w:val="28"/>
          <w:szCs w:val="22"/>
          <w:lang w:val="uk-UA"/>
        </w:rPr>
        <w:t>к.т.н</w:t>
      </w:r>
      <w:proofErr w:type="spellEnd"/>
      <w:r w:rsidRPr="008D1039">
        <w:rPr>
          <w:sz w:val="28"/>
          <w:szCs w:val="22"/>
          <w:lang w:val="uk-UA"/>
        </w:rPr>
        <w:t>.,</w:t>
      </w:r>
    </w:p>
    <w:p w:rsidR="008D1039" w:rsidRPr="008D1039" w:rsidRDefault="008D1039" w:rsidP="008D1039">
      <w:pPr>
        <w:pStyle w:val="21"/>
        <w:rPr>
          <w:sz w:val="28"/>
          <w:lang w:val="uk-UA"/>
        </w:rPr>
      </w:pPr>
      <w:bookmarkStart w:id="1" w:name="_Toc215241742"/>
      <w:r w:rsidRPr="008D1039">
        <w:rPr>
          <w:sz w:val="28"/>
          <w:lang w:val="uk-UA"/>
        </w:rPr>
        <w:t xml:space="preserve">Л.В. </w:t>
      </w:r>
      <w:proofErr w:type="spellStart"/>
      <w:r w:rsidRPr="008D1039">
        <w:rPr>
          <w:sz w:val="28"/>
          <w:lang w:val="uk-UA"/>
        </w:rPr>
        <w:t>Гайдукова</w:t>
      </w:r>
      <w:bookmarkStart w:id="2" w:name="_GoBack"/>
      <w:bookmarkEnd w:id="1"/>
      <w:bookmarkEnd w:id="2"/>
      <w:proofErr w:type="spellEnd"/>
    </w:p>
    <w:p w:rsidR="008D1039" w:rsidRPr="008D1039" w:rsidRDefault="008D1039" w:rsidP="008D1039">
      <w:pPr>
        <w:ind w:firstLine="567"/>
        <w:jc w:val="right"/>
        <w:rPr>
          <w:i/>
          <w:sz w:val="28"/>
          <w:szCs w:val="22"/>
          <w:lang w:val="uk-UA"/>
        </w:rPr>
      </w:pPr>
      <w:r w:rsidRPr="008D1039">
        <w:rPr>
          <w:i/>
          <w:sz w:val="28"/>
          <w:szCs w:val="22"/>
          <w:lang w:val="uk-UA"/>
        </w:rPr>
        <w:t>Національний авіаційний університет</w:t>
      </w:r>
    </w:p>
    <w:p w:rsidR="008D1039" w:rsidRPr="008D1039" w:rsidRDefault="008D1039" w:rsidP="008D1039">
      <w:pPr>
        <w:pStyle w:val="ab"/>
        <w:rPr>
          <w:sz w:val="28"/>
        </w:rPr>
      </w:pPr>
      <w:bookmarkStart w:id="3" w:name="_Toc214800616"/>
      <w:bookmarkStart w:id="4" w:name="_Toc215241743"/>
      <w:r w:rsidRPr="008D1039">
        <w:rPr>
          <w:sz w:val="28"/>
        </w:rPr>
        <w:t>ЗАСТОСУВАННЯ МАТЕМАТИЧНИХ МОДЕЛЕЙ УПРА</w:t>
      </w:r>
      <w:r w:rsidRPr="008D1039">
        <w:rPr>
          <w:sz w:val="28"/>
        </w:rPr>
        <w:t>В</w:t>
      </w:r>
      <w:r w:rsidRPr="008D1039">
        <w:rPr>
          <w:sz w:val="28"/>
        </w:rPr>
        <w:t>ЛІННЯ ДІАЛОГОМ В ЕКСПЕРТНИХ ТА ІНФОРМАЦІЙНО-АНАЛІТИЧНИХ СИСТЕМАХ</w:t>
      </w:r>
      <w:bookmarkEnd w:id="3"/>
      <w:bookmarkEnd w:id="4"/>
    </w:p>
    <w:p w:rsidR="008D1039" w:rsidRPr="008D1039" w:rsidRDefault="008D1039" w:rsidP="008D1039">
      <w:pPr>
        <w:pStyle w:val="a7"/>
        <w:spacing w:before="120" w:line="288" w:lineRule="auto"/>
        <w:rPr>
          <w:sz w:val="28"/>
          <w:szCs w:val="22"/>
        </w:rPr>
      </w:pPr>
      <w:r w:rsidRPr="008D1039">
        <w:rPr>
          <w:sz w:val="28"/>
          <w:szCs w:val="22"/>
        </w:rPr>
        <w:t>Підвищення рівня автоматизації проектування і настроюва</w:t>
      </w:r>
      <w:r w:rsidRPr="008D1039">
        <w:rPr>
          <w:sz w:val="28"/>
          <w:szCs w:val="22"/>
        </w:rPr>
        <w:t>н</w:t>
      </w:r>
      <w:r w:rsidRPr="008D1039">
        <w:rPr>
          <w:sz w:val="28"/>
          <w:szCs w:val="22"/>
        </w:rPr>
        <w:t>ня експертних та інформаційно-аналітичних систем вимагає вик</w:t>
      </w:r>
      <w:r w:rsidRPr="008D1039">
        <w:rPr>
          <w:sz w:val="28"/>
          <w:szCs w:val="22"/>
        </w:rPr>
        <w:t>о</w:t>
      </w:r>
      <w:r w:rsidRPr="008D1039">
        <w:rPr>
          <w:sz w:val="28"/>
          <w:szCs w:val="22"/>
        </w:rPr>
        <w:t>ристання внутрішньої гнучкої моделі управління процесами обробки та обміну даними. Серед широкого спектру мод</w:t>
      </w:r>
      <w:r w:rsidRPr="008D1039">
        <w:rPr>
          <w:sz w:val="28"/>
          <w:szCs w:val="22"/>
        </w:rPr>
        <w:t>е</w:t>
      </w:r>
      <w:r w:rsidRPr="008D1039">
        <w:rPr>
          <w:sz w:val="28"/>
          <w:szCs w:val="22"/>
        </w:rPr>
        <w:t>лей управління особливе місце займає теорія управління континуальними та ди</w:t>
      </w:r>
      <w:r w:rsidRPr="008D1039">
        <w:rPr>
          <w:sz w:val="28"/>
          <w:szCs w:val="22"/>
        </w:rPr>
        <w:t>с</w:t>
      </w:r>
      <w:r w:rsidRPr="008D1039">
        <w:rPr>
          <w:sz w:val="28"/>
          <w:szCs w:val="22"/>
        </w:rPr>
        <w:t>кретними системами зі зворотними зв’язками, в схему яких вкладаються діалоги експертних та інформаційно-аналітичних систем. З іншого боку інформаційні елементи ді</w:t>
      </w:r>
      <w:r w:rsidRPr="008D1039">
        <w:rPr>
          <w:sz w:val="28"/>
          <w:szCs w:val="22"/>
        </w:rPr>
        <w:t>а</w:t>
      </w:r>
      <w:r w:rsidRPr="008D1039">
        <w:rPr>
          <w:sz w:val="28"/>
          <w:szCs w:val="22"/>
        </w:rPr>
        <w:t>логових систем описуються відношеннями теорії множин та р</w:t>
      </w:r>
      <w:r w:rsidRPr="008D1039">
        <w:rPr>
          <w:sz w:val="28"/>
          <w:szCs w:val="22"/>
        </w:rPr>
        <w:t>е</w:t>
      </w:r>
      <w:r w:rsidRPr="008D1039">
        <w:rPr>
          <w:sz w:val="28"/>
          <w:szCs w:val="22"/>
        </w:rPr>
        <w:t>ляційної алгебри. Сполучення цих теорій дозволяє визначити шляхи підбору та синтезу елементів діалогу за кількісними семант</w:t>
      </w:r>
      <w:r w:rsidRPr="008D1039">
        <w:rPr>
          <w:sz w:val="28"/>
          <w:szCs w:val="22"/>
        </w:rPr>
        <w:t>и</w:t>
      </w:r>
      <w:r w:rsidRPr="008D1039">
        <w:rPr>
          <w:sz w:val="28"/>
          <w:szCs w:val="22"/>
        </w:rPr>
        <w:t>чними ознаками.</w:t>
      </w:r>
    </w:p>
    <w:p w:rsidR="008D1039" w:rsidRPr="008D1039" w:rsidRDefault="008D1039" w:rsidP="008D1039">
      <w:pPr>
        <w:pStyle w:val="a7"/>
        <w:spacing w:line="288" w:lineRule="auto"/>
        <w:rPr>
          <w:sz w:val="28"/>
          <w:szCs w:val="22"/>
        </w:rPr>
      </w:pPr>
      <w:r w:rsidRPr="008D1039">
        <w:rPr>
          <w:sz w:val="28"/>
          <w:szCs w:val="22"/>
        </w:rPr>
        <w:t>Запропоноване застосування математичних моделей реляці</w:t>
      </w:r>
      <w:r w:rsidRPr="008D1039">
        <w:rPr>
          <w:sz w:val="28"/>
          <w:szCs w:val="22"/>
        </w:rPr>
        <w:t>й</w:t>
      </w:r>
      <w:r w:rsidRPr="008D1039">
        <w:rPr>
          <w:sz w:val="28"/>
          <w:szCs w:val="22"/>
        </w:rPr>
        <w:t>ної алгебри в комп’ютерних реалізаціях для відображення сема</w:t>
      </w:r>
      <w:r w:rsidRPr="008D1039">
        <w:rPr>
          <w:sz w:val="28"/>
          <w:szCs w:val="22"/>
        </w:rPr>
        <w:t>н</w:t>
      </w:r>
      <w:r w:rsidRPr="008D1039">
        <w:rPr>
          <w:sz w:val="28"/>
          <w:szCs w:val="22"/>
        </w:rPr>
        <w:t>тичних характеристик мультимедійних даних інваріантними до підсистеми відтворення. Базовий варіант математичної моделі управління діалогом являє собою структуру, що склад</w:t>
      </w:r>
      <w:r w:rsidRPr="008D1039">
        <w:rPr>
          <w:sz w:val="28"/>
          <w:szCs w:val="22"/>
        </w:rPr>
        <w:t>а</w:t>
      </w:r>
      <w:r w:rsidRPr="008D1039">
        <w:rPr>
          <w:sz w:val="28"/>
          <w:szCs w:val="22"/>
        </w:rPr>
        <w:t xml:space="preserve">ється з множини формалізованих об’єктів бізнес-процесів </w:t>
      </w:r>
      <w:r w:rsidRPr="008D1039">
        <w:rPr>
          <w:b/>
          <w:sz w:val="28"/>
          <w:szCs w:val="22"/>
        </w:rPr>
        <w:t>P</w:t>
      </w:r>
      <w:r w:rsidRPr="008D1039">
        <w:rPr>
          <w:sz w:val="28"/>
          <w:szCs w:val="22"/>
        </w:rPr>
        <w:t xml:space="preserve"> і множини </w:t>
      </w:r>
      <w:r w:rsidRPr="008D1039">
        <w:rPr>
          <w:b/>
          <w:sz w:val="28"/>
          <w:szCs w:val="22"/>
        </w:rPr>
        <w:t>R</w:t>
      </w:r>
      <w:r w:rsidRPr="008D1039">
        <w:rPr>
          <w:sz w:val="28"/>
          <w:szCs w:val="22"/>
        </w:rPr>
        <w:t>. Це задає відношення між двома і більше бізнес-процесами, тобто реляційна модель задається парами атрибутів, що складають кортежі проц</w:t>
      </w:r>
      <w:r w:rsidRPr="008D1039">
        <w:rPr>
          <w:sz w:val="28"/>
          <w:szCs w:val="22"/>
        </w:rPr>
        <w:t>е</w:t>
      </w:r>
      <w:r w:rsidRPr="008D1039">
        <w:rPr>
          <w:sz w:val="28"/>
          <w:szCs w:val="22"/>
        </w:rPr>
        <w:t xml:space="preserve">дур і процесів діалогу </w:t>
      </w:r>
      <w:r w:rsidRPr="008D1039">
        <w:rPr>
          <w:sz w:val="28"/>
          <w:szCs w:val="22"/>
        </w:rPr>
        <w:sym w:font="Symbol" w:char="F03C"/>
      </w:r>
      <w:proofErr w:type="spellStart"/>
      <w:r w:rsidRPr="008D1039">
        <w:rPr>
          <w:i/>
          <w:sz w:val="28"/>
          <w:szCs w:val="22"/>
        </w:rPr>
        <w:t>p</w:t>
      </w:r>
      <w:r w:rsidRPr="008D1039">
        <w:rPr>
          <w:i/>
          <w:sz w:val="28"/>
          <w:szCs w:val="22"/>
          <w:vertAlign w:val="subscript"/>
        </w:rPr>
        <w:t>i</w:t>
      </w:r>
      <w:proofErr w:type="spellEnd"/>
      <w:r w:rsidRPr="008D1039">
        <w:rPr>
          <w:b/>
          <w:sz w:val="28"/>
          <w:szCs w:val="22"/>
        </w:rPr>
        <w:t xml:space="preserve">, </w:t>
      </w:r>
      <w:proofErr w:type="spellStart"/>
      <w:r w:rsidRPr="008D1039">
        <w:rPr>
          <w:i/>
          <w:sz w:val="28"/>
          <w:szCs w:val="22"/>
        </w:rPr>
        <w:t>r</w:t>
      </w:r>
      <w:r w:rsidRPr="008D1039">
        <w:rPr>
          <w:i/>
          <w:sz w:val="28"/>
          <w:szCs w:val="22"/>
          <w:vertAlign w:val="subscript"/>
        </w:rPr>
        <w:t>i</w:t>
      </w:r>
      <w:proofErr w:type="spellEnd"/>
      <w:r w:rsidRPr="008D1039">
        <w:rPr>
          <w:sz w:val="28"/>
          <w:szCs w:val="22"/>
        </w:rPr>
        <w:sym w:font="Symbol" w:char="F03E"/>
      </w:r>
      <w:r w:rsidRPr="008D1039">
        <w:rPr>
          <w:sz w:val="28"/>
          <w:szCs w:val="22"/>
        </w:rPr>
        <w:t xml:space="preserve">. </w:t>
      </w:r>
    </w:p>
    <w:p w:rsidR="008D1039" w:rsidRPr="008D1039" w:rsidRDefault="008D1039" w:rsidP="008D1039">
      <w:pPr>
        <w:pStyle w:val="a7"/>
        <w:spacing w:line="288" w:lineRule="auto"/>
        <w:rPr>
          <w:sz w:val="28"/>
          <w:szCs w:val="22"/>
        </w:rPr>
      </w:pPr>
      <w:r w:rsidRPr="008D1039">
        <w:rPr>
          <w:sz w:val="28"/>
          <w:szCs w:val="22"/>
        </w:rPr>
        <w:t>Використані механізми реалізації спираються на засоби управління зі зворотним зв’язком в дискретних системах і дозв</w:t>
      </w:r>
      <w:r w:rsidRPr="008D1039">
        <w:rPr>
          <w:sz w:val="28"/>
          <w:szCs w:val="22"/>
        </w:rPr>
        <w:t>о</w:t>
      </w:r>
      <w:r w:rsidRPr="008D1039">
        <w:rPr>
          <w:sz w:val="28"/>
          <w:szCs w:val="22"/>
        </w:rPr>
        <w:t>ляють мінімізувати правила ведення діалогів в системах з елементами штучного інтеле</w:t>
      </w:r>
      <w:r w:rsidRPr="008D1039">
        <w:rPr>
          <w:sz w:val="28"/>
          <w:szCs w:val="22"/>
        </w:rPr>
        <w:t>к</w:t>
      </w:r>
      <w:r w:rsidRPr="008D1039">
        <w:rPr>
          <w:sz w:val="28"/>
          <w:szCs w:val="22"/>
        </w:rPr>
        <w:t>ту.</w:t>
      </w:r>
    </w:p>
    <w:p w:rsidR="006A1647" w:rsidRPr="008D1039" w:rsidRDefault="006A1647" w:rsidP="008D1039">
      <w:pPr>
        <w:rPr>
          <w:sz w:val="32"/>
          <w:lang w:val="uk-UA"/>
        </w:rPr>
      </w:pPr>
    </w:p>
    <w:sectPr w:rsidR="006A1647" w:rsidRPr="008D1039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2016-05-24T20:45:00Z</dcterms:created>
  <dcterms:modified xsi:type="dcterms:W3CDTF">2016-05-24T20:45:00Z</dcterms:modified>
</cp:coreProperties>
</file>