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28" w:rsidRPr="002C7C28" w:rsidRDefault="002C7C28" w:rsidP="002C7C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2C7C2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УДК 316.334.3:324(043.2)                                                  </w:t>
      </w:r>
    </w:p>
    <w:p w:rsidR="002C7C28" w:rsidRPr="002C7C28" w:rsidRDefault="002C7C28" w:rsidP="002C7C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bookmarkStart w:id="0" w:name="_GoBack"/>
      <w:r w:rsidRPr="002C7C2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2C7C28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Набокова О.А.</w:t>
      </w:r>
    </w:p>
    <w:bookmarkEnd w:id="0"/>
    <w:p w:rsidR="002C7C28" w:rsidRPr="002C7C28" w:rsidRDefault="002C7C28" w:rsidP="002C7C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C7C2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Національний авіаційний університет, Київ</w:t>
      </w:r>
    </w:p>
    <w:p w:rsidR="002C7C28" w:rsidRPr="002C7C28" w:rsidRDefault="002C7C28" w:rsidP="002C7C28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2C7C28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СОЦІАЛЬНИЙ ПОРТРЕТ ВИБОРЦІВ ОСНОВНИХ ПОЛІТИЧНИХ ПАРТІЙ УКРАЇНИ</w:t>
      </w:r>
    </w:p>
    <w:p w:rsidR="002C7C28" w:rsidRPr="002C7C28" w:rsidRDefault="002C7C28" w:rsidP="002C7C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2C7C2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Соціальний портрет виборців основних політичних партій України містить у собі наявність найсуттєвіших ознак, які утворюються в наслідок багатофакторної дії соціуму. </w:t>
      </w:r>
      <w:proofErr w:type="spellStart"/>
      <w:r w:rsidRPr="002C7C28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Саме</w:t>
      </w:r>
      <w:proofErr w:type="spellEnd"/>
      <w:r w:rsidRPr="002C7C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C7C28">
        <w:rPr>
          <w:rFonts w:ascii="Times New Roman" w:eastAsia="Times New Roman" w:hAnsi="Times New Roman" w:cs="Times New Roman"/>
          <w:sz w:val="18"/>
          <w:szCs w:val="18"/>
          <w:lang w:eastAsia="ru-RU"/>
        </w:rPr>
        <w:t>ці</w:t>
      </w:r>
      <w:proofErr w:type="spellEnd"/>
      <w:r w:rsidRPr="002C7C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C7C28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фактори</w:t>
      </w:r>
      <w:proofErr w:type="spellEnd"/>
      <w:r w:rsidRPr="002C7C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C7C28">
        <w:rPr>
          <w:rFonts w:ascii="Times New Roman" w:eastAsia="Times New Roman" w:hAnsi="Times New Roman" w:cs="Times New Roman"/>
          <w:sz w:val="18"/>
          <w:szCs w:val="18"/>
          <w:lang w:eastAsia="ru-RU"/>
        </w:rPr>
        <w:t>здійснюють</w:t>
      </w:r>
      <w:proofErr w:type="spellEnd"/>
      <w:r w:rsidRPr="002C7C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C7C28">
        <w:rPr>
          <w:rFonts w:ascii="Times New Roman" w:eastAsia="Times New Roman" w:hAnsi="Times New Roman" w:cs="Times New Roman"/>
          <w:sz w:val="18"/>
          <w:szCs w:val="18"/>
          <w:lang w:eastAsia="ru-RU"/>
        </w:rPr>
        <w:t>вплив</w:t>
      </w:r>
      <w:proofErr w:type="spellEnd"/>
      <w:r w:rsidRPr="002C7C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</w:t>
      </w:r>
      <w:proofErr w:type="spellStart"/>
      <w:r w:rsidRPr="002C7C28">
        <w:rPr>
          <w:rFonts w:ascii="Times New Roman" w:eastAsia="Times New Roman" w:hAnsi="Times New Roman" w:cs="Times New Roman"/>
          <w:sz w:val="18"/>
          <w:szCs w:val="18"/>
          <w:lang w:eastAsia="ru-RU"/>
        </w:rPr>
        <w:t>особистість</w:t>
      </w:r>
      <w:proofErr w:type="spellEnd"/>
      <w:r w:rsidRPr="002C7C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2C7C28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формуючи</w:t>
      </w:r>
      <w:proofErr w:type="spellEnd"/>
      <w:r w:rsidRPr="002C7C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погляди, </w:t>
      </w:r>
      <w:proofErr w:type="spellStart"/>
      <w:r w:rsidRPr="002C7C28">
        <w:rPr>
          <w:rFonts w:ascii="Times New Roman" w:eastAsia="Times New Roman" w:hAnsi="Times New Roman" w:cs="Times New Roman"/>
          <w:sz w:val="18"/>
          <w:szCs w:val="18"/>
          <w:lang w:eastAsia="ru-RU"/>
        </w:rPr>
        <w:t>світосприйняття</w:t>
      </w:r>
      <w:proofErr w:type="spellEnd"/>
      <w:r w:rsidRPr="002C7C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думки. </w:t>
      </w:r>
      <w:proofErr w:type="spellStart"/>
      <w:r w:rsidRPr="002C7C28">
        <w:rPr>
          <w:rFonts w:ascii="Times New Roman" w:eastAsia="Times New Roman" w:hAnsi="Times New Roman" w:cs="Times New Roman"/>
          <w:sz w:val="18"/>
          <w:szCs w:val="18"/>
          <w:lang w:eastAsia="ru-RU"/>
        </w:rPr>
        <w:t>Цей</w:t>
      </w:r>
      <w:proofErr w:type="spellEnd"/>
      <w:r w:rsidRPr="002C7C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C7C28">
        <w:rPr>
          <w:rFonts w:ascii="Times New Roman" w:eastAsia="Times New Roman" w:hAnsi="Times New Roman" w:cs="Times New Roman"/>
          <w:sz w:val="18"/>
          <w:szCs w:val="18"/>
          <w:lang w:eastAsia="ru-RU"/>
        </w:rPr>
        <w:t>вплив</w:t>
      </w:r>
      <w:proofErr w:type="spellEnd"/>
      <w:r w:rsidRPr="002C7C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свою </w:t>
      </w:r>
      <w:proofErr w:type="spellStart"/>
      <w:proofErr w:type="gramStart"/>
      <w:r w:rsidRPr="002C7C28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чергу</w:t>
      </w:r>
      <w:proofErr w:type="spellEnd"/>
      <w:r w:rsidRPr="002C7C28">
        <w:rPr>
          <w:rFonts w:ascii="Times New Roman" w:eastAsia="Times New Roman" w:hAnsi="Times New Roman" w:cs="Times New Roman"/>
          <w:sz w:val="18"/>
          <w:szCs w:val="18"/>
          <w:lang w:eastAsia="ru-RU"/>
        </w:rPr>
        <w:t>,  є</w:t>
      </w:r>
      <w:proofErr w:type="gramEnd"/>
      <w:r w:rsidRPr="002C7C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C7C28">
        <w:rPr>
          <w:rFonts w:ascii="Times New Roman" w:eastAsia="Times New Roman" w:hAnsi="Times New Roman" w:cs="Times New Roman"/>
          <w:sz w:val="18"/>
          <w:szCs w:val="18"/>
          <w:lang w:eastAsia="ru-RU"/>
        </w:rPr>
        <w:t>вирішальним</w:t>
      </w:r>
      <w:proofErr w:type="spellEnd"/>
      <w:r w:rsidRPr="002C7C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 </w:t>
      </w:r>
      <w:proofErr w:type="spellStart"/>
      <w:r w:rsidRPr="002C7C2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поведінці</w:t>
      </w:r>
      <w:proofErr w:type="spellEnd"/>
      <w:r w:rsidRPr="002C7C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C7C28">
        <w:rPr>
          <w:rFonts w:ascii="Times New Roman" w:eastAsia="Times New Roman" w:hAnsi="Times New Roman" w:cs="Times New Roman"/>
          <w:sz w:val="18"/>
          <w:szCs w:val="18"/>
          <w:lang w:eastAsia="ru-RU"/>
        </w:rPr>
        <w:t>людини</w:t>
      </w:r>
      <w:proofErr w:type="spellEnd"/>
      <w:r w:rsidRPr="002C7C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C7C28">
        <w:rPr>
          <w:rFonts w:ascii="Times New Roman" w:eastAsia="Times New Roman" w:hAnsi="Times New Roman" w:cs="Times New Roman"/>
          <w:sz w:val="18"/>
          <w:szCs w:val="18"/>
          <w:lang w:eastAsia="ru-RU"/>
        </w:rPr>
        <w:t>під</w:t>
      </w:r>
      <w:proofErr w:type="spellEnd"/>
      <w:r w:rsidRPr="002C7C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час </w:t>
      </w:r>
      <w:proofErr w:type="spellStart"/>
      <w:r w:rsidRPr="002C7C28">
        <w:rPr>
          <w:rFonts w:ascii="Times New Roman" w:eastAsia="Times New Roman" w:hAnsi="Times New Roman" w:cs="Times New Roman"/>
          <w:sz w:val="18"/>
          <w:szCs w:val="18"/>
          <w:lang w:eastAsia="ru-RU"/>
        </w:rPr>
        <w:t>виборів</w:t>
      </w:r>
      <w:proofErr w:type="spellEnd"/>
      <w:r w:rsidRPr="002C7C2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C7C28" w:rsidRPr="002C7C28" w:rsidRDefault="002C7C28" w:rsidP="002C7C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2C7C2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Проаналізувавши дані дослідження, проведеного соціологічною групою «Рейтинг» та фондом «Демократичні ініціативи», можна стверджувати, що  поведінка українського електорату основних політичних партій України визначається багатьма факторами : соціальною приналежністю, рівнем освіти, специфікою території мешкання, віковими особливостями, тощо.</w:t>
      </w:r>
    </w:p>
    <w:p w:rsidR="002C7C28" w:rsidRPr="002C7C28" w:rsidRDefault="002C7C28" w:rsidP="002C7C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2C7C2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Згідно з результатами дослідження, Партія регіонів є лідером симпатій виборців Донбасу, Півдня та Сходу країни. ЇЇ електоральне поле — це виборці переважно середнього віку, які мають середню спеціальну і середню освіту, мешкають у містах, матеріальне становище яких середнє і вище середнього.</w:t>
      </w:r>
    </w:p>
    <w:p w:rsidR="002C7C28" w:rsidRPr="002C7C28" w:rsidRDefault="002C7C28" w:rsidP="002C7C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2C7C2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У свою чергу “Батьківщина” на Заході ділить першість зі «Свободою» та «Ударом», а в Центрі та на Півночі — з «Ударом». Виборці “Батьківщини”: переважно жінки, вік виборців — середній, освіта — середня спеціальна, мешкають переважно у сільській місцевості. Електоральне поле “Удару” і “Свободи” має спільні ознаки: виборці у більшості — чоловіки, молодь і люди середнього віку, переважно люди з вищою освітою, які мають офіційне працевлаштування і мешкають переважно в обласних центрах.</w:t>
      </w:r>
    </w:p>
    <w:p w:rsidR="002C7C28" w:rsidRPr="002C7C28" w:rsidRDefault="002C7C28" w:rsidP="002C7C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2C7C2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Прихильниками КПУ є мешканці Півдня та Сходу країни, люди старшого віку, у більшості — жінки, виборці із середньою та середньою спеціальною освітою.</w:t>
      </w:r>
    </w:p>
    <w:p w:rsidR="002C7C28" w:rsidRPr="002C7C28" w:rsidRDefault="002C7C28" w:rsidP="002C7C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2C7C2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Слід вказати і на </w:t>
      </w:r>
      <w:proofErr w:type="spellStart"/>
      <w:r w:rsidRPr="002C7C2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мовну</w:t>
      </w:r>
      <w:proofErr w:type="spellEnd"/>
      <w:r w:rsidRPr="002C7C2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особливість електорату: виборці «Свободи» і «Батьківщини» переважно україномовні. В структурі прихильників КПУ і Партії регіонів половина — російськомовні, чверть — україномовні, а ще чверть  розмовляють вдома обома мовами. Серед виборців «Удару» половина розмовляють російською або обома, а інша половина — українською.</w:t>
      </w:r>
    </w:p>
    <w:p w:rsidR="002C7C28" w:rsidRPr="002C7C28" w:rsidRDefault="002C7C28" w:rsidP="002C7C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2C7C2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Треба звернути увагу на мотиви голосування виборців за партії. Головними чинниками вибору партій є програма, пропозиції та лідери партій. У виборців «Удару» вирішальною є орієнтація на лідера Кличка. А у виборців “Батьківщини”, Партії регіонів, КПУ і  «Свободи»: програма партій, що виражає їх інтереси. </w:t>
      </w:r>
    </w:p>
    <w:p w:rsidR="002C7C28" w:rsidRPr="002C7C28" w:rsidRDefault="002C7C28" w:rsidP="002C7C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2C7C2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Майже у всіх регіонах, крім Заходу і міста Києва, молодь підтримала: «Удар»,  «Батьківщину» і Партію регіонів. Прояв активності виборців у голосуванні,  свідчить про небайдужість населення, у тому числі і молоді, до свого майбутнього і особисту відповідальність кожного громадянина за майбутнє своєї країни. </w:t>
      </w:r>
    </w:p>
    <w:p w:rsidR="002C7C28" w:rsidRPr="002C7C28" w:rsidRDefault="002C7C28" w:rsidP="002C7C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C7C28" w:rsidRPr="002C7C28" w:rsidRDefault="002C7C28" w:rsidP="002C7C28">
      <w:pPr>
        <w:spacing w:after="0" w:line="240" w:lineRule="auto"/>
        <w:ind w:right="-113"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7C28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                                    Науковий керівник – І.І. </w:t>
      </w:r>
      <w:proofErr w:type="spellStart"/>
      <w:r w:rsidRPr="002C7C28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Прокопчук</w:t>
      </w:r>
      <w:proofErr w:type="spellEnd"/>
      <w:r w:rsidRPr="002C7C28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, </w:t>
      </w:r>
      <w:proofErr w:type="spellStart"/>
      <w:r w:rsidRPr="002C7C28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канд</w:t>
      </w:r>
      <w:proofErr w:type="spellEnd"/>
      <w:r w:rsidRPr="002C7C28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. </w:t>
      </w:r>
      <w:proofErr w:type="spellStart"/>
      <w:r w:rsidRPr="002C7C28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політ.наук</w:t>
      </w:r>
      <w:proofErr w:type="spellEnd"/>
      <w:r w:rsidRPr="002C7C28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, доц.</w:t>
      </w:r>
    </w:p>
    <w:p w:rsidR="002F22A9" w:rsidRDefault="002F22A9"/>
    <w:sectPr w:rsidR="002F22A9" w:rsidSect="002C7C28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E2"/>
    <w:rsid w:val="002C7C28"/>
    <w:rsid w:val="002F22A9"/>
    <w:rsid w:val="00D6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F81A6-2DBD-4959-94F1-68F0F00C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2016-04-24T05:28:00Z</dcterms:created>
  <dcterms:modified xsi:type="dcterms:W3CDTF">2016-04-24T05:28:00Z</dcterms:modified>
</cp:coreProperties>
</file>